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70E2F" w14:textId="07C3652F" w:rsidR="004934E0" w:rsidRPr="00C04CFA" w:rsidRDefault="00167206" w:rsidP="008E7D27">
      <w:pPr>
        <w:keepNext/>
        <w:tabs>
          <w:tab w:val="right" w:pos="9638"/>
        </w:tabs>
        <w:spacing w:before="120" w:after="120" w:line="360" w:lineRule="auto"/>
        <w:rPr>
          <w:b/>
          <w:bCs/>
          <w:sz w:val="22"/>
          <w:szCs w:val="22"/>
        </w:rPr>
      </w:pPr>
      <w:r>
        <w:rPr>
          <w:b/>
          <w:noProof/>
          <w:sz w:val="24"/>
        </w:rPr>
        <w:t>SA3</w:t>
      </w:r>
      <w:r w:rsidR="000152C8">
        <w:rPr>
          <w:b/>
          <w:noProof/>
          <w:sz w:val="24"/>
        </w:rPr>
        <w:t>#99-LI</w:t>
      </w:r>
      <w:r w:rsidR="004934E0" w:rsidRPr="00C04CFA">
        <w:rPr>
          <w:b/>
          <w:bCs/>
          <w:sz w:val="22"/>
          <w:szCs w:val="22"/>
        </w:rPr>
        <w:tab/>
      </w:r>
      <w:r>
        <w:rPr>
          <w:b/>
          <w:bCs/>
          <w:sz w:val="22"/>
          <w:szCs w:val="22"/>
        </w:rPr>
        <w:t>S3i2</w:t>
      </w:r>
      <w:r w:rsidR="00C810F1">
        <w:rPr>
          <w:b/>
          <w:bCs/>
          <w:sz w:val="22"/>
          <w:szCs w:val="22"/>
        </w:rPr>
        <w:t>5</w:t>
      </w:r>
      <w:r w:rsidR="00473461">
        <w:rPr>
          <w:b/>
          <w:bCs/>
          <w:sz w:val="22"/>
          <w:szCs w:val="22"/>
        </w:rPr>
        <w:t>0</w:t>
      </w:r>
      <w:r w:rsidR="000152C8">
        <w:rPr>
          <w:b/>
          <w:bCs/>
          <w:sz w:val="22"/>
          <w:szCs w:val="22"/>
        </w:rPr>
        <w:t>632</w:t>
      </w:r>
    </w:p>
    <w:p w14:paraId="7157F9DD" w14:textId="06D07571" w:rsidR="004934E0" w:rsidRPr="00C04CFA" w:rsidRDefault="00A705DE" w:rsidP="008E7D27">
      <w:pPr>
        <w:keepNext/>
        <w:pBdr>
          <w:bottom w:val="single" w:sz="6" w:space="0" w:color="auto"/>
        </w:pBdr>
        <w:tabs>
          <w:tab w:val="right" w:pos="9638"/>
        </w:tabs>
        <w:spacing w:before="120" w:after="120" w:line="360" w:lineRule="auto"/>
        <w:rPr>
          <w:b/>
          <w:bCs/>
          <w:sz w:val="22"/>
          <w:szCs w:val="22"/>
        </w:rPr>
      </w:pPr>
      <w:r>
        <w:rPr>
          <w:b/>
          <w:noProof/>
          <w:sz w:val="24"/>
        </w:rPr>
        <w:t>November 4-7</w:t>
      </w:r>
      <w:r w:rsidR="00DF2684">
        <w:rPr>
          <w:b/>
          <w:noProof/>
          <w:sz w:val="24"/>
        </w:rPr>
        <w:t xml:space="preserve">, 2025, </w:t>
      </w:r>
      <w:r>
        <w:rPr>
          <w:b/>
          <w:noProof/>
          <w:sz w:val="24"/>
        </w:rPr>
        <w:t>Overland Park, KS (USA)</w:t>
      </w:r>
      <w:r w:rsidR="004934E0" w:rsidRPr="00C04CFA">
        <w:rPr>
          <w:b/>
          <w:bCs/>
          <w:sz w:val="22"/>
          <w:szCs w:val="22"/>
        </w:rPr>
        <w:tab/>
      </w:r>
    </w:p>
    <w:p w14:paraId="06E38623" w14:textId="1CF893B6"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w:t>
      </w:r>
    </w:p>
    <w:p w14:paraId="619D8F54" w14:textId="1F74E02A"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5E557F" w:rsidRPr="005E557F">
        <w:rPr>
          <w:b/>
          <w:sz w:val="22"/>
          <w:szCs w:val="22"/>
        </w:rPr>
        <w:t>TR 33.929-9: PTC LI – PTC LI topology Part III – ad-hoc session</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3D28BB3B"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CA6694">
        <w:rPr>
          <w:b/>
          <w:sz w:val="22"/>
          <w:szCs w:val="22"/>
        </w:rPr>
        <w:t>10</w:t>
      </w:r>
    </w:p>
    <w:p w14:paraId="51B826EF" w14:textId="413EF975"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CA6694" w:rsidRPr="00CA6694">
        <w:rPr>
          <w:b/>
          <w:sz w:val="22"/>
          <w:szCs w:val="22"/>
        </w:rPr>
        <w:t>LI19-GUIDE</w:t>
      </w:r>
    </w:p>
    <w:p w14:paraId="4955B550" w14:textId="77777777" w:rsidR="00D70CD3"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w:t>
      </w:r>
      <w:proofErr w:type="spellStart"/>
      <w:r w:rsidR="002F12B1">
        <w:rPr>
          <w:rFonts w:ascii="Arial" w:hAnsi="Arial" w:cs="Arial"/>
          <w:i/>
          <w:sz w:val="18"/>
          <w:szCs w:val="18"/>
        </w:rPr>
        <w:t>pCR</w:t>
      </w:r>
      <w:proofErr w:type="spellEnd"/>
      <w:r w:rsidR="002F12B1">
        <w:rPr>
          <w:rFonts w:ascii="Arial" w:hAnsi="Arial" w:cs="Arial"/>
          <w:i/>
          <w:sz w:val="18"/>
          <w:szCs w:val="18"/>
        </w:rPr>
        <w:t xml:space="preserve"> provides </w:t>
      </w:r>
      <w:r w:rsidR="00C978E3">
        <w:rPr>
          <w:rFonts w:ascii="Arial" w:hAnsi="Arial" w:cs="Arial"/>
          <w:i/>
          <w:sz w:val="18"/>
          <w:szCs w:val="18"/>
        </w:rPr>
        <w:t>input text to TR 33.929-</w:t>
      </w:r>
      <w:r w:rsidR="00A705DE">
        <w:rPr>
          <w:rFonts w:ascii="Arial" w:hAnsi="Arial" w:cs="Arial"/>
          <w:i/>
          <w:sz w:val="18"/>
          <w:szCs w:val="18"/>
        </w:rPr>
        <w:t>9</w:t>
      </w:r>
      <w:r w:rsidR="00C810F1">
        <w:rPr>
          <w:rFonts w:ascii="Arial" w:hAnsi="Arial" w:cs="Arial"/>
          <w:i/>
          <w:sz w:val="18"/>
          <w:szCs w:val="18"/>
        </w:rPr>
        <w:t xml:space="preserve"> </w:t>
      </w:r>
      <w:r w:rsidR="008A55EB">
        <w:rPr>
          <w:rFonts w:ascii="Arial" w:hAnsi="Arial" w:cs="Arial"/>
          <w:i/>
          <w:sz w:val="18"/>
          <w:szCs w:val="18"/>
        </w:rPr>
        <w:t xml:space="preserve">LI for </w:t>
      </w:r>
      <w:r w:rsidR="00A705DE">
        <w:rPr>
          <w:rFonts w:ascii="Arial" w:hAnsi="Arial" w:cs="Arial"/>
          <w:i/>
          <w:sz w:val="18"/>
          <w:szCs w:val="18"/>
        </w:rPr>
        <w:t>PTC</w:t>
      </w:r>
      <w:r w:rsidR="00C978E3">
        <w:rPr>
          <w:rFonts w:ascii="Arial" w:hAnsi="Arial" w:cs="Arial"/>
          <w:i/>
          <w:sz w:val="18"/>
          <w:szCs w:val="18"/>
        </w:rPr>
        <w:t xml:space="preserve">. </w:t>
      </w:r>
      <w:r w:rsidR="00F14957">
        <w:rPr>
          <w:rFonts w:ascii="Arial" w:hAnsi="Arial" w:cs="Arial"/>
          <w:i/>
          <w:sz w:val="18"/>
          <w:szCs w:val="18"/>
        </w:rPr>
        <w:t xml:space="preserve">This </w:t>
      </w:r>
      <w:proofErr w:type="spellStart"/>
      <w:r w:rsidR="00F14957">
        <w:rPr>
          <w:rFonts w:ascii="Arial" w:hAnsi="Arial" w:cs="Arial"/>
          <w:i/>
          <w:sz w:val="18"/>
          <w:szCs w:val="18"/>
        </w:rPr>
        <w:t>pCR</w:t>
      </w:r>
      <w:proofErr w:type="spellEnd"/>
      <w:r w:rsidR="00F14957">
        <w:rPr>
          <w:rFonts w:ascii="Arial" w:hAnsi="Arial" w:cs="Arial"/>
          <w:i/>
          <w:sz w:val="18"/>
          <w:szCs w:val="18"/>
        </w:rPr>
        <w:t xml:space="preserve"> provide the </w:t>
      </w:r>
      <w:r w:rsidR="00A705DE">
        <w:rPr>
          <w:rFonts w:ascii="Arial" w:hAnsi="Arial" w:cs="Arial"/>
          <w:i/>
          <w:sz w:val="18"/>
          <w:szCs w:val="18"/>
        </w:rPr>
        <w:t>PTC</w:t>
      </w:r>
      <w:r w:rsidR="00F14957">
        <w:rPr>
          <w:rFonts w:ascii="Arial" w:hAnsi="Arial" w:cs="Arial"/>
          <w:i/>
          <w:sz w:val="18"/>
          <w:szCs w:val="18"/>
        </w:rPr>
        <w:t xml:space="preserve"> topology views </w:t>
      </w:r>
      <w:r w:rsidR="00A705DE">
        <w:rPr>
          <w:rFonts w:ascii="Arial" w:hAnsi="Arial" w:cs="Arial"/>
          <w:i/>
          <w:sz w:val="18"/>
          <w:szCs w:val="18"/>
        </w:rPr>
        <w:t xml:space="preserve">for </w:t>
      </w:r>
      <w:r w:rsidR="00DC103F">
        <w:rPr>
          <w:rFonts w:ascii="Arial" w:hAnsi="Arial" w:cs="Arial"/>
          <w:i/>
          <w:sz w:val="18"/>
          <w:szCs w:val="18"/>
        </w:rPr>
        <w:t>an</w:t>
      </w:r>
      <w:r w:rsidR="00A705DE">
        <w:rPr>
          <w:rFonts w:ascii="Arial" w:hAnsi="Arial" w:cs="Arial"/>
          <w:i/>
          <w:sz w:val="18"/>
          <w:szCs w:val="18"/>
        </w:rPr>
        <w:t xml:space="preserve"> </w:t>
      </w:r>
      <w:r w:rsidR="00302C13">
        <w:rPr>
          <w:rFonts w:ascii="Arial" w:hAnsi="Arial" w:cs="Arial"/>
          <w:i/>
          <w:sz w:val="18"/>
          <w:szCs w:val="18"/>
        </w:rPr>
        <w:t>ad-hoc group</w:t>
      </w:r>
      <w:r w:rsidR="00A705DE">
        <w:rPr>
          <w:rFonts w:ascii="Arial" w:hAnsi="Arial" w:cs="Arial"/>
          <w:i/>
          <w:sz w:val="18"/>
          <w:szCs w:val="18"/>
        </w:rPr>
        <w:t xml:space="preserve"> PTC session</w:t>
      </w:r>
      <w:r w:rsidR="00D70CD3">
        <w:rPr>
          <w:rFonts w:ascii="Arial" w:hAnsi="Arial" w:cs="Arial"/>
          <w:i/>
          <w:sz w:val="18"/>
          <w:szCs w:val="18"/>
        </w:rPr>
        <w:t>.</w:t>
      </w:r>
    </w:p>
    <w:p w14:paraId="2E5A706C" w14:textId="11E640EE" w:rsidR="00347117" w:rsidRPr="00F201DF" w:rsidRDefault="002A1336" w:rsidP="00F201DF">
      <w:pPr>
        <w:pBdr>
          <w:bottom w:val="single" w:sz="4" w:space="1" w:color="auto"/>
        </w:pBdr>
        <w:spacing w:before="120" w:after="120"/>
        <w:rPr>
          <w:b/>
          <w:sz w:val="36"/>
          <w:szCs w:val="36"/>
        </w:rPr>
      </w:pPr>
      <w:r>
        <w:rPr>
          <w:b/>
          <w:i/>
          <w:sz w:val="36"/>
          <w:szCs w:val="36"/>
        </w:rPr>
        <w:t>BACKGROUND</w:t>
      </w:r>
    </w:p>
    <w:p w14:paraId="1E5B7836" w14:textId="74CB7102" w:rsidR="00DC103F" w:rsidRDefault="003746FA" w:rsidP="00DB76A2">
      <w:pPr>
        <w:tabs>
          <w:tab w:val="left" w:pos="2660"/>
        </w:tabs>
        <w:jc w:val="both"/>
        <w:rPr>
          <w:bCs/>
          <w:sz w:val="22"/>
          <w:szCs w:val="22"/>
        </w:rPr>
      </w:pPr>
      <w:r w:rsidRPr="00A12774">
        <w:rPr>
          <w:bCs/>
          <w:sz w:val="22"/>
          <w:szCs w:val="22"/>
        </w:rPr>
        <w:t>The TR 33.929-</w:t>
      </w:r>
      <w:r w:rsidR="00A705DE">
        <w:rPr>
          <w:bCs/>
          <w:sz w:val="22"/>
          <w:szCs w:val="22"/>
        </w:rPr>
        <w:t>9</w:t>
      </w:r>
      <w:r w:rsidRPr="00A12774">
        <w:rPr>
          <w:bCs/>
          <w:sz w:val="22"/>
          <w:szCs w:val="22"/>
        </w:rPr>
        <w:t xml:space="preserve"> </w:t>
      </w:r>
      <w:r>
        <w:rPr>
          <w:bCs/>
          <w:sz w:val="22"/>
          <w:szCs w:val="22"/>
        </w:rPr>
        <w:t xml:space="preserve">provides the implementation guidance for the LI aspects related to the </w:t>
      </w:r>
      <w:r w:rsidR="00A705DE">
        <w:rPr>
          <w:bCs/>
          <w:sz w:val="22"/>
          <w:szCs w:val="22"/>
        </w:rPr>
        <w:t>PTC.</w:t>
      </w:r>
      <w:r>
        <w:rPr>
          <w:bCs/>
          <w:sz w:val="22"/>
          <w:szCs w:val="22"/>
        </w:rPr>
        <w:t xml:space="preserve"> </w:t>
      </w:r>
      <w:r w:rsidR="00C7527F">
        <w:rPr>
          <w:bCs/>
          <w:sz w:val="22"/>
          <w:szCs w:val="22"/>
        </w:rPr>
        <w:t xml:space="preserve">This </w:t>
      </w:r>
      <w:proofErr w:type="spellStart"/>
      <w:r w:rsidR="00C7527F">
        <w:rPr>
          <w:bCs/>
          <w:sz w:val="22"/>
          <w:szCs w:val="22"/>
        </w:rPr>
        <w:t>pCR</w:t>
      </w:r>
      <w:proofErr w:type="spellEnd"/>
      <w:r w:rsidR="00C7527F">
        <w:rPr>
          <w:bCs/>
          <w:sz w:val="22"/>
          <w:szCs w:val="22"/>
        </w:rPr>
        <w:t xml:space="preserve"> gives provides the network topologies for </w:t>
      </w:r>
      <w:r w:rsidR="00A705DE">
        <w:rPr>
          <w:bCs/>
          <w:sz w:val="22"/>
          <w:szCs w:val="22"/>
        </w:rPr>
        <w:t xml:space="preserve">PTC LI for PTC </w:t>
      </w:r>
      <w:r w:rsidR="00664268">
        <w:rPr>
          <w:bCs/>
          <w:sz w:val="22"/>
          <w:szCs w:val="22"/>
        </w:rPr>
        <w:t xml:space="preserve">ad-hoc group </w:t>
      </w:r>
      <w:r w:rsidR="00A705DE">
        <w:rPr>
          <w:bCs/>
          <w:sz w:val="22"/>
          <w:szCs w:val="22"/>
        </w:rPr>
        <w:t>session.</w:t>
      </w:r>
    </w:p>
    <w:p w14:paraId="3645AC75" w14:textId="713877DE" w:rsidR="004C2287" w:rsidRPr="00302C13" w:rsidRDefault="004C2287" w:rsidP="004C2287">
      <w:pPr>
        <w:tabs>
          <w:tab w:val="left" w:pos="2660"/>
        </w:tabs>
        <w:jc w:val="both"/>
        <w:rPr>
          <w:bCs/>
          <w:color w:val="7030A0"/>
          <w:sz w:val="36"/>
          <w:szCs w:val="36"/>
        </w:rPr>
      </w:pPr>
      <w:r w:rsidRPr="00302C13">
        <w:rPr>
          <w:bCs/>
          <w:color w:val="7030A0"/>
          <w:sz w:val="36"/>
          <w:szCs w:val="36"/>
        </w:rPr>
        <w:t xml:space="preserve">**** Relevant clauses from the other </w:t>
      </w:r>
      <w:proofErr w:type="spellStart"/>
      <w:r w:rsidRPr="00302C13">
        <w:rPr>
          <w:bCs/>
          <w:color w:val="7030A0"/>
          <w:sz w:val="36"/>
          <w:szCs w:val="36"/>
        </w:rPr>
        <w:t>pCRs</w:t>
      </w:r>
      <w:proofErr w:type="spellEnd"/>
      <w:r w:rsidRPr="00302C13">
        <w:rPr>
          <w:bCs/>
          <w:color w:val="7030A0"/>
          <w:sz w:val="36"/>
          <w:szCs w:val="36"/>
        </w:rPr>
        <w:t xml:space="preserve"> ****</w:t>
      </w:r>
    </w:p>
    <w:p w14:paraId="29F5E011" w14:textId="77777777" w:rsidR="004C2287" w:rsidRPr="004D3578" w:rsidRDefault="004C2287" w:rsidP="004C2287">
      <w:pPr>
        <w:pStyle w:val="Heading1"/>
      </w:pPr>
      <w:bookmarkStart w:id="0" w:name="_Toc174041538"/>
      <w:r w:rsidRPr="004D3578">
        <w:t>1</w:t>
      </w:r>
      <w:r w:rsidRPr="004D3578">
        <w:tab/>
        <w:t>Scope</w:t>
      </w:r>
      <w:bookmarkEnd w:id="0"/>
    </w:p>
    <w:p w14:paraId="58A1C4AA" w14:textId="77777777" w:rsidR="004C2287" w:rsidRDefault="004C2287" w:rsidP="004C2287">
      <w:pPr>
        <w:tabs>
          <w:tab w:val="left" w:pos="2660"/>
        </w:tabs>
        <w:jc w:val="both"/>
        <w:rPr>
          <w:bCs/>
          <w:sz w:val="22"/>
          <w:szCs w:val="22"/>
        </w:rPr>
      </w:pPr>
    </w:p>
    <w:p w14:paraId="51029B74" w14:textId="77777777" w:rsidR="004C2287" w:rsidRPr="004D3578" w:rsidRDefault="004C2287" w:rsidP="004C2287">
      <w:pPr>
        <w:pStyle w:val="Heading1"/>
      </w:pPr>
      <w:bookmarkStart w:id="1" w:name="_Toc174041539"/>
      <w:r w:rsidRPr="004D3578">
        <w:t>2</w:t>
      </w:r>
      <w:r w:rsidRPr="004D3578">
        <w:tab/>
        <w:t>References</w:t>
      </w:r>
      <w:bookmarkEnd w:id="1"/>
    </w:p>
    <w:p w14:paraId="6C1287FB" w14:textId="77777777" w:rsidR="004C2287" w:rsidRDefault="004C2287" w:rsidP="004C2287">
      <w:pPr>
        <w:tabs>
          <w:tab w:val="left" w:pos="2660"/>
        </w:tabs>
        <w:jc w:val="both"/>
        <w:rPr>
          <w:bCs/>
          <w:sz w:val="22"/>
          <w:szCs w:val="22"/>
        </w:rPr>
      </w:pPr>
    </w:p>
    <w:p w14:paraId="1DF79608" w14:textId="77777777" w:rsidR="004C2287" w:rsidRPr="004D3578" w:rsidRDefault="004C2287" w:rsidP="004C2287">
      <w:pPr>
        <w:pStyle w:val="Heading1"/>
      </w:pPr>
      <w:bookmarkStart w:id="2" w:name="_Toc174041540"/>
      <w:r w:rsidRPr="004D3578">
        <w:t>3</w:t>
      </w:r>
      <w:r w:rsidRPr="004D3578">
        <w:tab/>
        <w:t>Definitions</w:t>
      </w:r>
      <w:r>
        <w:t xml:space="preserve"> of terms, symbols and abbreviations</w:t>
      </w:r>
      <w:bookmarkEnd w:id="2"/>
    </w:p>
    <w:p w14:paraId="7C20535F" w14:textId="77777777" w:rsidR="004C2287" w:rsidRDefault="004C2287" w:rsidP="00DB76A2">
      <w:pPr>
        <w:tabs>
          <w:tab w:val="left" w:pos="2660"/>
        </w:tabs>
        <w:jc w:val="both"/>
        <w:rPr>
          <w:b/>
          <w:sz w:val="36"/>
          <w:szCs w:val="36"/>
        </w:rPr>
      </w:pPr>
    </w:p>
    <w:p w14:paraId="7F2B5A0B" w14:textId="68FCCAF1" w:rsidR="004C2287" w:rsidRDefault="004C2287" w:rsidP="004C2287">
      <w:pPr>
        <w:pStyle w:val="Heading1"/>
      </w:pPr>
      <w:bookmarkStart w:id="3" w:name="_Toc174041544"/>
      <w:r>
        <w:lastRenderedPageBreak/>
        <w:t>4</w:t>
      </w:r>
      <w:r>
        <w:tab/>
        <w:t xml:space="preserve">Illustration of LI for IMS-based </w:t>
      </w:r>
      <w:bookmarkEnd w:id="3"/>
      <w:r w:rsidR="00A705DE">
        <w:t>PTC</w:t>
      </w:r>
    </w:p>
    <w:p w14:paraId="51BBD56A" w14:textId="77777777" w:rsidR="004C2287" w:rsidRDefault="004C2287" w:rsidP="004C2287">
      <w:pPr>
        <w:pStyle w:val="Heading2"/>
      </w:pPr>
      <w:r>
        <w:t>4.1</w:t>
      </w:r>
      <w:r>
        <w:tab/>
        <w:t>Overview</w:t>
      </w:r>
    </w:p>
    <w:p w14:paraId="52FD45BA" w14:textId="43BDA08F" w:rsidR="00241E6B" w:rsidRDefault="00807F5A" w:rsidP="00241E6B">
      <w:pPr>
        <w:pStyle w:val="Heading2"/>
      </w:pPr>
      <w:r>
        <w:t>4</w:t>
      </w:r>
      <w:r w:rsidR="00241E6B">
        <w:t>.2</w:t>
      </w:r>
      <w:r w:rsidR="00241E6B">
        <w:tab/>
        <w:t>PTC topology scenarios</w:t>
      </w:r>
    </w:p>
    <w:p w14:paraId="5968C204" w14:textId="77777777" w:rsidR="00241E6B" w:rsidRDefault="00241E6B" w:rsidP="00241E6B">
      <w:pPr>
        <w:pStyle w:val="Heading3"/>
      </w:pPr>
      <w:r>
        <w:t>4.2.1</w:t>
      </w:r>
      <w:r>
        <w:tab/>
        <w:t>General</w:t>
      </w:r>
    </w:p>
    <w:p w14:paraId="4D2E0815" w14:textId="60C6E060" w:rsidR="005A0CF5" w:rsidRDefault="005A0CF5" w:rsidP="005A0CF5">
      <w:pPr>
        <w:pStyle w:val="Heading3"/>
      </w:pPr>
      <w:r>
        <w:t>4.2.2</w:t>
      </w:r>
      <w:r>
        <w:tab/>
        <w:t>Few conventions used</w:t>
      </w:r>
    </w:p>
    <w:p w14:paraId="1953183F" w14:textId="77777777" w:rsidR="00807F5A" w:rsidRPr="00807F5A" w:rsidRDefault="00807F5A" w:rsidP="00807F5A">
      <w:pPr>
        <w:pStyle w:val="Heading3"/>
      </w:pPr>
      <w:r w:rsidRPr="00807F5A">
        <w:t>4.2.3</w:t>
      </w:r>
      <w:r w:rsidRPr="00807F5A">
        <w:tab/>
        <w:t>PTC pre-established session</w:t>
      </w:r>
    </w:p>
    <w:p w14:paraId="1231201A" w14:textId="7FE114DF" w:rsidR="00DC103F" w:rsidRDefault="005A0CF5" w:rsidP="005A0CF5">
      <w:pPr>
        <w:pStyle w:val="Heading3"/>
      </w:pPr>
      <w:r>
        <w:t>4.2.</w:t>
      </w:r>
      <w:r w:rsidR="00807F5A">
        <w:t>4</w:t>
      </w:r>
      <w:r>
        <w:tab/>
        <w:t>PTC 1:1 session</w:t>
      </w:r>
    </w:p>
    <w:p w14:paraId="03980EB1" w14:textId="31CCA05F" w:rsidR="004C2287" w:rsidRDefault="004C2287" w:rsidP="00DB76A2">
      <w:pPr>
        <w:tabs>
          <w:tab w:val="left" w:pos="2660"/>
        </w:tabs>
        <w:jc w:val="both"/>
        <w:rPr>
          <w:b/>
          <w:sz w:val="36"/>
          <w:szCs w:val="36"/>
        </w:rPr>
      </w:pPr>
    </w:p>
    <w:p w14:paraId="4C82B0F3" w14:textId="2664C9A2" w:rsidR="00DB76A2" w:rsidRPr="00C7527F" w:rsidRDefault="00DB76A2" w:rsidP="00DB76A2">
      <w:pPr>
        <w:tabs>
          <w:tab w:val="left" w:pos="2660"/>
        </w:tabs>
        <w:jc w:val="both"/>
        <w:rPr>
          <w:bCs/>
          <w:sz w:val="22"/>
          <w:szCs w:val="22"/>
        </w:rPr>
      </w:pPr>
      <w:r>
        <w:rPr>
          <w:b/>
          <w:sz w:val="36"/>
          <w:szCs w:val="36"/>
        </w:rPr>
        <w:t>PROPOSAL</w:t>
      </w:r>
    </w:p>
    <w:p w14:paraId="7B7439CD" w14:textId="549A83E7" w:rsidR="00A07AC3" w:rsidRDefault="009622BD" w:rsidP="00A07AC3">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C978E3">
        <w:rPr>
          <w:bCs/>
          <w:sz w:val="22"/>
          <w:szCs w:val="22"/>
        </w:rPr>
        <w:t>-</w:t>
      </w:r>
      <w:r w:rsidR="00251981">
        <w:rPr>
          <w:bCs/>
          <w:sz w:val="22"/>
          <w:szCs w:val="22"/>
        </w:rPr>
        <w:t>9</w:t>
      </w:r>
      <w:r w:rsidR="00605E6D">
        <w:rPr>
          <w:bCs/>
          <w:sz w:val="22"/>
          <w:szCs w:val="22"/>
        </w:rPr>
        <w:t>.</w:t>
      </w:r>
    </w:p>
    <w:p w14:paraId="1C9BD56C" w14:textId="02D5CFC0" w:rsidR="009700CC" w:rsidRPr="006607C1" w:rsidRDefault="00A07AC3" w:rsidP="006607C1">
      <w:pPr>
        <w:tabs>
          <w:tab w:val="left" w:pos="709"/>
        </w:tabs>
        <w:jc w:val="center"/>
        <w:rPr>
          <w:bCs/>
          <w:color w:val="7030A0"/>
          <w:sz w:val="56"/>
          <w:szCs w:val="56"/>
        </w:rPr>
      </w:pPr>
      <w:r w:rsidRPr="004A20D0">
        <w:rPr>
          <w:bCs/>
          <w:color w:val="7030A0"/>
          <w:sz w:val="56"/>
          <w:szCs w:val="56"/>
        </w:rPr>
        <w:t>***** New text ****</w:t>
      </w:r>
    </w:p>
    <w:p w14:paraId="7F06130B" w14:textId="5C0EDCCC" w:rsidR="00DC103F" w:rsidRDefault="00312E78" w:rsidP="00A02F3D">
      <w:pPr>
        <w:pStyle w:val="Heading3"/>
      </w:pPr>
      <w:r>
        <w:t>4.2.</w:t>
      </w:r>
      <w:r w:rsidR="00807F5A">
        <w:t>5</w:t>
      </w:r>
      <w:r>
        <w:tab/>
      </w:r>
      <w:r w:rsidR="006E772C">
        <w:t xml:space="preserve">PTC </w:t>
      </w:r>
      <w:r w:rsidR="00302C13">
        <w:t xml:space="preserve">one-to-many </w:t>
      </w:r>
      <w:r w:rsidR="00241E6B">
        <w:t>session</w:t>
      </w:r>
    </w:p>
    <w:p w14:paraId="581FA8E4" w14:textId="4F9F5A92" w:rsidR="00897672" w:rsidRDefault="00897672" w:rsidP="00A02F3D">
      <w:pPr>
        <w:pStyle w:val="Heading4"/>
      </w:pPr>
      <w:r>
        <w:t>4.2.</w:t>
      </w:r>
      <w:r w:rsidR="00807F5A">
        <w:t>5</w:t>
      </w:r>
      <w:r>
        <w:t>.1</w:t>
      </w:r>
      <w:r>
        <w:tab/>
        <w:t>General</w:t>
      </w:r>
    </w:p>
    <w:p w14:paraId="3F0AD44F" w14:textId="5DE48976" w:rsidR="00DC103F" w:rsidRDefault="006E772C" w:rsidP="006E772C">
      <w:r>
        <w:t>In a PTC</w:t>
      </w:r>
      <w:r w:rsidR="00302C13">
        <w:t xml:space="preserve"> </w:t>
      </w:r>
      <w:r w:rsidR="00664268">
        <w:t>O</w:t>
      </w:r>
      <w:r w:rsidR="00302C13">
        <w:t>ne-to-</w:t>
      </w:r>
      <w:r w:rsidR="00664268">
        <w:t>M</w:t>
      </w:r>
      <w:r w:rsidR="00302C13">
        <w:t>any</w:t>
      </w:r>
      <w:r>
        <w:t xml:space="preserve"> session,</w:t>
      </w:r>
      <w:r w:rsidR="009203EA">
        <w:t xml:space="preserve"> multiple PTC clients are involved as group in a PTC session. This is also referred to as PTC group session. While one of PTC clients in the group is speaking, the rest of the PTC clients are listening. Any PTC client in the group can acquire the floor (when it is open) to begin speaking.</w:t>
      </w:r>
    </w:p>
    <w:p w14:paraId="4E5D6C75" w14:textId="6D031486" w:rsidR="00DC103F" w:rsidRDefault="009203EA" w:rsidP="009203EA">
      <w:r>
        <w:t xml:space="preserve">The PTC session can be setup either with one PTC client initiating the PTC session with multiple destination PTC clients or the PTC clients can join </w:t>
      </w:r>
      <w:r w:rsidR="00A21971">
        <w:t>a</w:t>
      </w:r>
      <w:r>
        <w:t xml:space="preserve"> PTC chat-group session. In the first case, t</w:t>
      </w:r>
      <w:r w:rsidR="009173ED">
        <w:t xml:space="preserve">he </w:t>
      </w:r>
      <w:r w:rsidR="00036EC1">
        <w:t xml:space="preserve">multiple destination </w:t>
      </w:r>
      <w:r w:rsidR="009173ED">
        <w:t xml:space="preserve">PTC clients in the group can </w:t>
      </w:r>
      <w:r w:rsidR="00036EC1">
        <w:t xml:space="preserve">either be pre-arranged </w:t>
      </w:r>
      <w:r w:rsidR="000D1DB2">
        <w:t xml:space="preserve">(by the CSP) </w:t>
      </w:r>
      <w:r w:rsidR="00036EC1">
        <w:t xml:space="preserve">or determined on an ad-hoc basis </w:t>
      </w:r>
      <w:r w:rsidR="000D1DB2">
        <w:t xml:space="preserve">(by the PTC client) </w:t>
      </w:r>
      <w:r w:rsidR="00036EC1">
        <w:t xml:space="preserve">during the session initiation. </w:t>
      </w:r>
      <w:r>
        <w:t>In the second case, a separate PTC Server may handle the PTC chat group session.</w:t>
      </w:r>
    </w:p>
    <w:p w14:paraId="0F368D15" w14:textId="77777777" w:rsidR="00DC103F" w:rsidRDefault="00036EC1" w:rsidP="006E772C">
      <w:bookmarkStart w:id="4" w:name="_Hlk207194388"/>
      <w:r>
        <w:t xml:space="preserve">In </w:t>
      </w:r>
      <w:r w:rsidR="00302C13">
        <w:t xml:space="preserve">an ad-hoc group PTC session, the </w:t>
      </w:r>
      <w:r w:rsidR="009203EA">
        <w:t xml:space="preserve">list of multiple destination </w:t>
      </w:r>
      <w:r w:rsidR="00302C13">
        <w:t>PTC client</w:t>
      </w:r>
      <w:r w:rsidR="00A21971">
        <w:t>s</w:t>
      </w:r>
      <w:r w:rsidR="00302C13">
        <w:t xml:space="preserve"> </w:t>
      </w:r>
      <w:r w:rsidR="009203EA">
        <w:t>may be provided by the PTC client who initiates the session or based on some other criteria determined by the PTC Server that provides the participating PTC function to the session</w:t>
      </w:r>
      <w:r w:rsidR="00A21971">
        <w:t>-</w:t>
      </w:r>
      <w:r w:rsidR="009203EA">
        <w:t>initiating</w:t>
      </w:r>
      <w:r w:rsidR="00C50162">
        <w:t xml:space="preserve"> PTC</w:t>
      </w:r>
      <w:r w:rsidR="009203EA">
        <w:t xml:space="preserve"> client.</w:t>
      </w:r>
    </w:p>
    <w:p w14:paraId="3BCF2AA2" w14:textId="77777777" w:rsidR="00D70CD3" w:rsidRDefault="00302C13" w:rsidP="006E772C">
      <w:r>
        <w:t>In a pre-arranged PTC group session, the participants in the PTC group are pre-determined. Upon receiving the PTC session</w:t>
      </w:r>
      <w:r w:rsidR="00A21971">
        <w:t>-</w:t>
      </w:r>
      <w:r>
        <w:t>initiation request</w:t>
      </w:r>
      <w:r w:rsidR="00C50162">
        <w:t xml:space="preserve"> </w:t>
      </w:r>
      <w:r>
        <w:t>from one of the PTC clients</w:t>
      </w:r>
      <w:r w:rsidR="00C50162">
        <w:t xml:space="preserve"> in the pre-arranged group, </w:t>
      </w:r>
      <w:r w:rsidR="00807F5A">
        <w:t>the</w:t>
      </w:r>
      <w:r w:rsidR="00C50162">
        <w:t xml:space="preserve"> PTC server that provides the participating PTC function to the session initiating PTC client</w:t>
      </w:r>
      <w:r w:rsidR="00807F5A">
        <w:t xml:space="preserve"> </w:t>
      </w:r>
      <w:r w:rsidR="00C50162">
        <w:t xml:space="preserve">would interact with the group management system to determine the PTC clients in the group </w:t>
      </w:r>
      <w:r w:rsidR="000D1DB2">
        <w:t xml:space="preserve">which in turn would </w:t>
      </w:r>
      <w:r w:rsidR="00C50162">
        <w:t>send out the PTC session invitation to all those PTC clients</w:t>
      </w:r>
      <w:r w:rsidR="00D70CD3">
        <w:t>.</w:t>
      </w:r>
    </w:p>
    <w:bookmarkEnd w:id="4"/>
    <w:p w14:paraId="50020ECA" w14:textId="1A0E90A1" w:rsidR="00312E78" w:rsidRDefault="001D643E" w:rsidP="000E7625">
      <w:pPr>
        <w:pStyle w:val="Heading4"/>
      </w:pPr>
      <w:r>
        <w:t>4.2.</w:t>
      </w:r>
      <w:r w:rsidR="00807F5A">
        <w:t>5</w:t>
      </w:r>
      <w:r>
        <w:t>.2</w:t>
      </w:r>
      <w:r>
        <w:tab/>
      </w:r>
      <w:r w:rsidR="00954C65">
        <w:t>Ad-hoc group PTC session</w:t>
      </w:r>
      <w:r w:rsidR="00312E78">
        <w:tab/>
      </w:r>
    </w:p>
    <w:p w14:paraId="2615080B" w14:textId="6594A329" w:rsidR="004B6910" w:rsidRDefault="004B6910" w:rsidP="004B6910">
      <w:pPr>
        <w:pStyle w:val="Heading5"/>
      </w:pPr>
      <w:r>
        <w:t>4.2.</w:t>
      </w:r>
      <w:r w:rsidR="00807F5A">
        <w:t>5</w:t>
      </w:r>
      <w:r>
        <w:t>.2.1</w:t>
      </w:r>
      <w:r>
        <w:tab/>
        <w:t>General</w:t>
      </w:r>
    </w:p>
    <w:p w14:paraId="6AE8F694" w14:textId="77777777" w:rsidR="00DC103F" w:rsidRDefault="00C50162" w:rsidP="00CC179C">
      <w:pPr>
        <w:pStyle w:val="NO"/>
        <w:ind w:left="0" w:firstLine="0"/>
      </w:pPr>
      <w:r>
        <w:t xml:space="preserve">In the illustration, three PTC clients are shown. PTC </w:t>
      </w:r>
      <w:r w:rsidR="006C0B87">
        <w:t>C</w:t>
      </w:r>
      <w:r>
        <w:t xml:space="preserve">lient A initiates the PTC session. The PTC </w:t>
      </w:r>
      <w:r w:rsidR="006C0B87">
        <w:t>C</w:t>
      </w:r>
      <w:r>
        <w:t>lient B and PTC Client C are the other</w:t>
      </w:r>
      <w:r w:rsidR="006C0B87">
        <w:t xml:space="preserve"> two PTC clients in the group.</w:t>
      </w:r>
    </w:p>
    <w:p w14:paraId="22B42615" w14:textId="3B9EF93B" w:rsidR="0094098E" w:rsidRDefault="007E5424" w:rsidP="00CC179C">
      <w:pPr>
        <w:pStyle w:val="NO"/>
        <w:ind w:left="0" w:firstLine="0"/>
      </w:pPr>
      <w:r>
        <w:object w:dxaOrig="22092" w:dyaOrig="12324" w14:anchorId="46170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68.9pt" o:ole="">
            <v:imagedata r:id="rId8" o:title=""/>
          </v:shape>
          <o:OLEObject Type="Embed" ProgID="Visio.Drawing.15" ShapeID="_x0000_i1025" DrawAspect="Content" ObjectID="_1823084737" r:id="rId9"/>
        </w:object>
      </w:r>
    </w:p>
    <w:p w14:paraId="150C6F88" w14:textId="256D1D77" w:rsidR="0094098E" w:rsidRDefault="0094098E" w:rsidP="0094098E">
      <w:pPr>
        <w:pStyle w:val="Caption"/>
        <w:jc w:val="center"/>
      </w:pPr>
      <w:r>
        <w:t>Figure 4.2.</w:t>
      </w:r>
      <w:r w:rsidR="00807F5A">
        <w:t>5</w:t>
      </w:r>
      <w:r>
        <w:t>.2</w:t>
      </w:r>
      <w:r w:rsidR="004B6910">
        <w:t>.1</w:t>
      </w:r>
      <w:r>
        <w:t>-1: An ad-hoc or pre-arranged group PTC session – a topology view</w:t>
      </w:r>
    </w:p>
    <w:p w14:paraId="3C33EC31" w14:textId="77777777" w:rsidR="00D70CD3" w:rsidRDefault="006C0B87" w:rsidP="00C93560">
      <w:pPr>
        <w:pStyle w:val="NO"/>
        <w:spacing w:before="120"/>
        <w:ind w:left="0" w:firstLine="0"/>
      </w:pPr>
      <w:r>
        <w:t>In the illustrations, PTC Client A is in CSP A domain, PTC Client B is in CSP B domain and PTC Client C is in CSP C domain</w:t>
      </w:r>
      <w:r w:rsidR="00D70CD3">
        <w:t>.</w:t>
      </w:r>
    </w:p>
    <w:p w14:paraId="43D997DE" w14:textId="336EC979" w:rsidR="006C0B87" w:rsidRDefault="007347A7" w:rsidP="00CC179C">
      <w:pPr>
        <w:pStyle w:val="NO"/>
        <w:ind w:left="0" w:firstLine="0"/>
      </w:pPr>
      <w:r>
        <w:t>Either two or all three of the PTC clients may also be in the same CSP domain. When the two PTC clients are in the same CSP domain, IBCFs and TrGWs are not present between the IMS domain serving those PTC clients (see figure 4.2.</w:t>
      </w:r>
      <w:r w:rsidR="00807F5A">
        <w:t>4</w:t>
      </w:r>
      <w:r>
        <w:t>.1-1).</w:t>
      </w:r>
    </w:p>
    <w:p w14:paraId="344130C5" w14:textId="4367DACB" w:rsidR="00DC103F" w:rsidRDefault="007347A7" w:rsidP="00CC179C">
      <w:pPr>
        <w:pStyle w:val="NO"/>
        <w:ind w:left="0" w:firstLine="0"/>
      </w:pPr>
      <w:r>
        <w:t>The topology shown in figure 4.2.</w:t>
      </w:r>
      <w:r w:rsidR="00807F5A">
        <w:t>5</w:t>
      </w:r>
      <w:r>
        <w:t>.2</w:t>
      </w:r>
      <w:r w:rsidR="004B6910">
        <w:t>.1</w:t>
      </w:r>
      <w:r>
        <w:t>-1 (all three PTC clients in different CSP domains) is expanded with the LI aspects shown in the rest of the illustrations of this clause.</w:t>
      </w:r>
    </w:p>
    <w:p w14:paraId="506E4015" w14:textId="16DF57BE" w:rsidR="00BA607D" w:rsidRPr="004B6910" w:rsidRDefault="004B6910" w:rsidP="004B6910">
      <w:pPr>
        <w:pStyle w:val="Heading5"/>
      </w:pPr>
      <w:r w:rsidRPr="004B6910">
        <w:t>4.2.</w:t>
      </w:r>
      <w:r w:rsidR="00807F5A">
        <w:t>5</w:t>
      </w:r>
      <w:r w:rsidRPr="004B6910">
        <w:t>.2.2</w:t>
      </w:r>
      <w:r w:rsidRPr="004B6910">
        <w:tab/>
      </w:r>
      <w:r w:rsidR="009360AB" w:rsidRPr="004B6910">
        <w:t>PTC Client A is a target</w:t>
      </w:r>
    </w:p>
    <w:p w14:paraId="25EF6C89" w14:textId="38507BE4" w:rsidR="00DC103F" w:rsidRDefault="00CC179C" w:rsidP="00CC179C">
      <w:pPr>
        <w:pStyle w:val="NO"/>
        <w:ind w:left="0" w:firstLine="0"/>
      </w:pPr>
      <w:r>
        <w:t>The figure 4.2.</w:t>
      </w:r>
      <w:r w:rsidR="00C93560">
        <w:t>5</w:t>
      </w:r>
      <w:r>
        <w:t>.2</w:t>
      </w:r>
      <w:r w:rsidR="004B6910">
        <w:t>.2</w:t>
      </w:r>
      <w:r>
        <w:t xml:space="preserve">-1 illustrates </w:t>
      </w:r>
      <w:r w:rsidR="00DD721D">
        <w:t xml:space="preserve">a case of </w:t>
      </w:r>
      <w:r w:rsidR="009360AB">
        <w:t xml:space="preserve">PTC Client A who initiated the </w:t>
      </w:r>
      <w:r w:rsidR="0062119C">
        <w:t>ad-hoc group</w:t>
      </w:r>
      <w:r w:rsidR="009360AB">
        <w:t xml:space="preserve"> PTC session to PTC Client B </w:t>
      </w:r>
      <w:r w:rsidR="0062119C">
        <w:t>and PTC Client C</w:t>
      </w:r>
      <w:r w:rsidR="005A0CF5">
        <w:t xml:space="preserve"> is </w:t>
      </w:r>
      <w:r w:rsidR="0062119C">
        <w:t>a</w:t>
      </w:r>
      <w:r w:rsidR="009360AB">
        <w:t xml:space="preserve"> target. In the illustration, the LI is applicable only for PTC.</w:t>
      </w:r>
    </w:p>
    <w:p w14:paraId="35AAAD69" w14:textId="2A81F084" w:rsidR="00052AAB" w:rsidRDefault="00052AAB" w:rsidP="00CC179C">
      <w:pPr>
        <w:pStyle w:val="NO"/>
        <w:ind w:left="0" w:firstLine="0"/>
      </w:pPr>
      <w:r>
        <w:object w:dxaOrig="22092" w:dyaOrig="12324" w14:anchorId="41EDA506">
          <v:shape id="_x0000_i1026" type="#_x0000_t75" style="width:481.65pt;height:268.9pt" o:ole="">
            <v:imagedata r:id="rId10" o:title=""/>
          </v:shape>
          <o:OLEObject Type="Embed" ProgID="Visio.Drawing.15" ShapeID="_x0000_i1026" DrawAspect="Content" ObjectID="_1823084738" r:id="rId11"/>
        </w:object>
      </w:r>
    </w:p>
    <w:p w14:paraId="2B74B22E" w14:textId="2CFC2E33" w:rsidR="00052AAB" w:rsidRDefault="00052AAB" w:rsidP="00052AAB">
      <w:pPr>
        <w:pStyle w:val="Caption"/>
        <w:jc w:val="center"/>
      </w:pPr>
      <w:r>
        <w:t>Figure 4.2.</w:t>
      </w:r>
      <w:r w:rsidR="00C93560">
        <w:t>5</w:t>
      </w:r>
      <w:r>
        <w:t>.2.2-1:</w:t>
      </w:r>
      <w:r w:rsidRPr="00052AAB">
        <w:t xml:space="preserve"> </w:t>
      </w:r>
      <w:r>
        <w:t>Ad-hoc group PTC session, PTC Client A is a target</w:t>
      </w:r>
    </w:p>
    <w:p w14:paraId="60F50D2F" w14:textId="77777777" w:rsidR="00D70CD3" w:rsidRDefault="00052AAB" w:rsidP="00B632D7">
      <w:pPr>
        <w:spacing w:before="120"/>
        <w:rPr>
          <w:lang w:eastAsia="en-US"/>
        </w:rPr>
      </w:pPr>
      <w:r>
        <w:t xml:space="preserve">When PTC Client A is a target, the PTC Server A that provides the participating PTC function for PTC Client A provides the LI functions. Since, the PTC Client A has initiated this PTC group session, the PTC Server A also provides the controlling PTC function. </w:t>
      </w:r>
      <w:r>
        <w:rPr>
          <w:lang w:eastAsia="en-US"/>
        </w:rPr>
        <w:t>As shown in figure 4.2.</w:t>
      </w:r>
      <w:r w:rsidR="00C93560">
        <w:rPr>
          <w:lang w:eastAsia="en-US"/>
        </w:rPr>
        <w:t>5</w:t>
      </w:r>
      <w:r>
        <w:rPr>
          <w:lang w:eastAsia="en-US"/>
        </w:rPr>
        <w:t>.2.2-1,</w:t>
      </w:r>
      <w:r w:rsidR="00D70CD3">
        <w:rPr>
          <w:lang w:eastAsia="en-US"/>
        </w:rPr>
        <w:t xml:space="preserve"> </w:t>
      </w:r>
      <w:r>
        <w:rPr>
          <w:lang w:eastAsia="en-US"/>
        </w:rPr>
        <w:t xml:space="preserve">the interception happens at the ingress end of signalling and media flow. </w:t>
      </w:r>
      <w:r w:rsidR="00B632D7">
        <w:rPr>
          <w:lang w:eastAsia="en-US"/>
        </w:rPr>
        <w:t>In this illustration, PTC Client A has the floor</w:t>
      </w:r>
      <w:r w:rsidR="00D70CD3">
        <w:rPr>
          <w:lang w:eastAsia="en-US"/>
        </w:rPr>
        <w:t>.</w:t>
      </w:r>
    </w:p>
    <w:p w14:paraId="5C1BE6EC" w14:textId="77777777" w:rsidR="00D70CD3" w:rsidRDefault="00052AAB" w:rsidP="00052AAB">
      <w:pPr>
        <w:spacing w:before="120"/>
        <w:rPr>
          <w:lang w:eastAsia="en-US"/>
        </w:rPr>
      </w:pPr>
      <w:r>
        <w:rPr>
          <w:lang w:eastAsia="en-US"/>
        </w:rPr>
        <w:t>The figure 4.2.</w:t>
      </w:r>
      <w:r w:rsidR="00C93560">
        <w:rPr>
          <w:lang w:eastAsia="en-US"/>
        </w:rPr>
        <w:t>5</w:t>
      </w:r>
      <w:r>
        <w:rPr>
          <w:lang w:eastAsia="en-US"/>
        </w:rPr>
        <w:t>.2.2-2 illustrates the topology with different PTC clients having the floor</w:t>
      </w:r>
      <w:r w:rsidR="00D70CD3">
        <w:rPr>
          <w:lang w:eastAsia="en-US"/>
        </w:rPr>
        <w:t>.</w:t>
      </w:r>
    </w:p>
    <w:p w14:paraId="352AB7E2" w14:textId="619995FD" w:rsidR="00CC179C" w:rsidRDefault="00C93560" w:rsidP="00CC179C">
      <w:pPr>
        <w:pStyle w:val="NO"/>
        <w:ind w:left="0" w:firstLine="0"/>
      </w:pPr>
      <w:r>
        <w:object w:dxaOrig="22092" w:dyaOrig="26364" w14:anchorId="64232A6F">
          <v:shape id="_x0000_i1027" type="#_x0000_t75" style="width:481.65pt;height:574.9pt" o:ole="">
            <v:imagedata r:id="rId12" o:title=""/>
          </v:shape>
          <o:OLEObject Type="Embed" ProgID="Visio.Drawing.15" ShapeID="_x0000_i1027" DrawAspect="Content" ObjectID="_1823084739" r:id="rId13"/>
        </w:object>
      </w:r>
    </w:p>
    <w:p w14:paraId="7D34CC4D" w14:textId="466FBA85" w:rsidR="00DC103F" w:rsidRDefault="00312E78" w:rsidP="000F78E9">
      <w:pPr>
        <w:pStyle w:val="Caption"/>
        <w:jc w:val="center"/>
      </w:pPr>
      <w:r>
        <w:t xml:space="preserve">Figure </w:t>
      </w:r>
      <w:r w:rsidR="0034022C">
        <w:t>4.2</w:t>
      </w:r>
      <w:r>
        <w:t>.</w:t>
      </w:r>
      <w:r w:rsidR="00C93560">
        <w:t>5</w:t>
      </w:r>
      <w:r w:rsidR="001D643E">
        <w:t>.2</w:t>
      </w:r>
      <w:r w:rsidR="00052AAB">
        <w:t>.2</w:t>
      </w:r>
      <w:r>
        <w:t>-</w:t>
      </w:r>
      <w:r w:rsidR="005A0CF5">
        <w:t>2</w:t>
      </w:r>
      <w:r>
        <w:t xml:space="preserve">: </w:t>
      </w:r>
      <w:r w:rsidR="006C0B87">
        <w:t>Ad-hoc group</w:t>
      </w:r>
      <w:r w:rsidR="009360AB">
        <w:t xml:space="preserve"> PTC session, PTC Client A is a target</w:t>
      </w:r>
      <w:r w:rsidR="00052AAB">
        <w:t xml:space="preserve"> – </w:t>
      </w:r>
      <w:r w:rsidR="00C93560">
        <w:t xml:space="preserve">other </w:t>
      </w:r>
      <w:r w:rsidR="00052AAB">
        <w:t>floor control options</w:t>
      </w:r>
    </w:p>
    <w:p w14:paraId="445BB526" w14:textId="77777777" w:rsidR="00D70CD3" w:rsidRDefault="00C93560" w:rsidP="00D90A0E">
      <w:pPr>
        <w:spacing w:before="120"/>
      </w:pPr>
      <w:r>
        <w:t xml:space="preserve">As shown in figure 4.2.5.2.2-2, either </w:t>
      </w:r>
      <w:r w:rsidR="00BB197B">
        <w:t xml:space="preserve">the PTC Client B </w:t>
      </w:r>
      <w:r w:rsidR="006C0B87">
        <w:t xml:space="preserve">or PTC Client C </w:t>
      </w:r>
      <w:r w:rsidR="00BB197B">
        <w:t xml:space="preserve">can </w:t>
      </w:r>
      <w:r>
        <w:t xml:space="preserve">also </w:t>
      </w:r>
      <w:r w:rsidR="00BB197B">
        <w:t>have the floor at any given time</w:t>
      </w:r>
      <w:r>
        <w:t xml:space="preserve"> in addition to PTC Client A (target) having the floor (figure 4.2.5.2.2-1)</w:t>
      </w:r>
      <w:r w:rsidR="00BB197B">
        <w:t>.</w:t>
      </w:r>
      <w:r w:rsidR="00D90A0E">
        <w:t xml:space="preserve"> </w:t>
      </w:r>
      <w:r w:rsidR="00D90A0E" w:rsidRPr="00D90A0E">
        <w:t>The difference in the LI aspects is mainly the direction of media that is being intercepted.</w:t>
      </w:r>
      <w:r w:rsidR="00D70CD3">
        <w:t xml:space="preserve"> </w:t>
      </w:r>
      <w:r w:rsidR="00052AAB">
        <w:t>In all cases, the interception happens at the ingress end of signalling and media flow with respect to the PTC Server A</w:t>
      </w:r>
      <w:r w:rsidR="00D70CD3">
        <w:t>.</w:t>
      </w:r>
    </w:p>
    <w:p w14:paraId="2DB01D19" w14:textId="5753C93B" w:rsidR="00DC103F" w:rsidRDefault="00DC103F" w:rsidP="007515F8">
      <w:pPr>
        <w:spacing w:before="120"/>
      </w:pPr>
    </w:p>
    <w:p w14:paraId="6A7DFC2E" w14:textId="465E3E4E" w:rsidR="00BB197B" w:rsidRPr="00052AAB" w:rsidRDefault="00052AAB" w:rsidP="00052AAB">
      <w:pPr>
        <w:pStyle w:val="Heading5"/>
      </w:pPr>
      <w:r w:rsidRPr="00052AAB">
        <w:lastRenderedPageBreak/>
        <w:t>4.2.</w:t>
      </w:r>
      <w:r w:rsidR="00C93560">
        <w:t>5</w:t>
      </w:r>
      <w:r w:rsidRPr="00052AAB">
        <w:t>.2.3</w:t>
      </w:r>
      <w:r w:rsidRPr="00052AAB">
        <w:tab/>
      </w:r>
      <w:r w:rsidR="00BB197B" w:rsidRPr="00052AAB">
        <w:t>PTC Client B is a target</w:t>
      </w:r>
    </w:p>
    <w:p w14:paraId="7EAE6746" w14:textId="4FCC841A" w:rsidR="00DC103F" w:rsidRDefault="0094098E" w:rsidP="0094098E">
      <w:pPr>
        <w:pStyle w:val="NO"/>
        <w:ind w:left="0" w:firstLine="0"/>
      </w:pPr>
      <w:r>
        <w:t>The figure 4.2.</w:t>
      </w:r>
      <w:r w:rsidR="00B632D7">
        <w:t>5</w:t>
      </w:r>
      <w:r>
        <w:t>.2</w:t>
      </w:r>
      <w:r w:rsidR="00052AAB">
        <w:t>.3-1</w:t>
      </w:r>
      <w:r>
        <w:t xml:space="preserve"> illustrates a case of PTC Client B one of the destination PTC client</w:t>
      </w:r>
      <w:r w:rsidR="00B632D7">
        <w:t>s</w:t>
      </w:r>
      <w:r>
        <w:t xml:space="preserve"> of an ad-hoc group PTC session is the target. In the illustration, the LI is applicable only for PTC.</w:t>
      </w:r>
    </w:p>
    <w:p w14:paraId="438D08FA" w14:textId="361849A0" w:rsidR="00052AAB" w:rsidRDefault="00052AAB" w:rsidP="0094098E">
      <w:pPr>
        <w:pStyle w:val="NO"/>
        <w:ind w:left="0" w:firstLine="0"/>
      </w:pPr>
      <w:r>
        <w:object w:dxaOrig="23101" w:dyaOrig="13033" w14:anchorId="6ECBE4C8">
          <v:shape id="_x0000_i1028" type="#_x0000_t75" style="width:481.65pt;height:271.65pt" o:ole="">
            <v:imagedata r:id="rId14" o:title=""/>
          </v:shape>
          <o:OLEObject Type="Embed" ProgID="Visio.Drawing.15" ShapeID="_x0000_i1028" DrawAspect="Content" ObjectID="_1823084740" r:id="rId15"/>
        </w:object>
      </w:r>
    </w:p>
    <w:p w14:paraId="48A865F0" w14:textId="1C5E0F53" w:rsidR="00052AAB" w:rsidRDefault="00052AAB" w:rsidP="00052AAB">
      <w:pPr>
        <w:pStyle w:val="Caption"/>
        <w:jc w:val="center"/>
      </w:pPr>
      <w:r>
        <w:t>Figure 4.2.</w:t>
      </w:r>
      <w:r w:rsidR="00B632D7">
        <w:t>5</w:t>
      </w:r>
      <w:r>
        <w:t>.2.3-1: Ad-hoc group PTC session, PTC Client B is a target</w:t>
      </w:r>
    </w:p>
    <w:p w14:paraId="6DDDA94F" w14:textId="77777777" w:rsidR="00D70CD3" w:rsidRDefault="00052AAB" w:rsidP="00052AAB">
      <w:pPr>
        <w:spacing w:before="120"/>
        <w:rPr>
          <w:lang w:eastAsia="en-US"/>
        </w:rPr>
      </w:pPr>
      <w:r>
        <w:t>When PTC Client B is a target, the PTC Server B that provides the participating PTC function for PTC Client B provides the LI functions. The scope of LI functions provided by PTC Server B is limited to the information available in PTC Server B. In this illustration, the controlling PTC function is provided by PTC Server A present in the CSP A domain.</w:t>
      </w:r>
      <w:r w:rsidR="00D70CD3">
        <w:t xml:space="preserve"> </w:t>
      </w:r>
      <w:r>
        <w:rPr>
          <w:lang w:eastAsia="en-US"/>
        </w:rPr>
        <w:t>As shown in figure 4.2.</w:t>
      </w:r>
      <w:r w:rsidR="00B632D7">
        <w:rPr>
          <w:lang w:eastAsia="en-US"/>
        </w:rPr>
        <w:t>5</w:t>
      </w:r>
      <w:r>
        <w:rPr>
          <w:lang w:eastAsia="en-US"/>
        </w:rPr>
        <w:t xml:space="preserve">.2.3-1, the interception happens at the egress end of signalling and media flow. </w:t>
      </w:r>
      <w:r w:rsidR="00B632D7">
        <w:rPr>
          <w:lang w:eastAsia="en-US"/>
        </w:rPr>
        <w:t>In this illustration, PTC Client A has the floor</w:t>
      </w:r>
      <w:r w:rsidR="00D70CD3">
        <w:rPr>
          <w:lang w:eastAsia="en-US"/>
        </w:rPr>
        <w:t>.</w:t>
      </w:r>
    </w:p>
    <w:p w14:paraId="26B1493E" w14:textId="77777777" w:rsidR="00D70CD3" w:rsidRDefault="00B632D7" w:rsidP="00B632D7">
      <w:pPr>
        <w:spacing w:before="120"/>
        <w:rPr>
          <w:lang w:eastAsia="en-US"/>
        </w:rPr>
      </w:pPr>
      <w:r>
        <w:rPr>
          <w:lang w:eastAsia="en-US"/>
        </w:rPr>
        <w:t>The figure 4.2.5.2.3-2 illustrates the topology with different PTC clients having the floor</w:t>
      </w:r>
      <w:r w:rsidR="00D70CD3">
        <w:rPr>
          <w:lang w:eastAsia="en-US"/>
        </w:rPr>
        <w:t>.</w:t>
      </w:r>
    </w:p>
    <w:p w14:paraId="06E2AD95" w14:textId="35CD793F" w:rsidR="00BB197B" w:rsidRDefault="00B632D7" w:rsidP="00BB197B">
      <w:pPr>
        <w:pStyle w:val="NO"/>
        <w:ind w:left="0" w:firstLine="0"/>
      </w:pPr>
      <w:r>
        <w:object w:dxaOrig="23256" w:dyaOrig="26917" w14:anchorId="48C30E7F">
          <v:shape id="_x0000_i1029" type="#_x0000_t75" style="width:481.65pt;height:557.45pt" o:ole="">
            <v:imagedata r:id="rId16" o:title=""/>
          </v:shape>
          <o:OLEObject Type="Embed" ProgID="Visio.Drawing.15" ShapeID="_x0000_i1029" DrawAspect="Content" ObjectID="_1823084741" r:id="rId17"/>
        </w:object>
      </w:r>
    </w:p>
    <w:p w14:paraId="12A3E766" w14:textId="5D763F0F" w:rsidR="00052AAB" w:rsidRDefault="005A0CF5" w:rsidP="00052AAB">
      <w:pPr>
        <w:pStyle w:val="Caption"/>
        <w:jc w:val="center"/>
      </w:pPr>
      <w:r>
        <w:t>Figure 4.2.</w:t>
      </w:r>
      <w:r w:rsidR="00B632D7">
        <w:t>5</w:t>
      </w:r>
      <w:r>
        <w:t>.2</w:t>
      </w:r>
      <w:r w:rsidR="00052AAB">
        <w:t>.3-2</w:t>
      </w:r>
      <w:r>
        <w:t>: Ad-hoc group PTC session, PTC Client B is a target</w:t>
      </w:r>
      <w:r w:rsidR="00052AAB">
        <w:t xml:space="preserve"> – floor control options</w:t>
      </w:r>
    </w:p>
    <w:p w14:paraId="105E7F2F" w14:textId="716F5C85" w:rsidR="00B632D7" w:rsidRDefault="00B632D7" w:rsidP="00B632D7">
      <w:pPr>
        <w:spacing w:before="120"/>
      </w:pPr>
      <w:r>
        <w:t xml:space="preserve">As shown in figure 4.2.5.2.3-2, either the PTC Client B (target) or PTC Client C can also have the floor at any given time in addition to PTC Client A having the floor (figure 4.2.5.2.3-1). </w:t>
      </w:r>
      <w:r w:rsidR="00D90A0E" w:rsidRPr="00D90A0E">
        <w:t xml:space="preserve">The difference in the LI aspects is mainly the direction of media that is being intercepted. </w:t>
      </w:r>
      <w:r>
        <w:t>In all cases, the interception happens at the egress end of signalling and media flow with respect to the PTC Server B.</w:t>
      </w:r>
    </w:p>
    <w:p w14:paraId="1C57C135" w14:textId="011341A0" w:rsidR="005A0CF5" w:rsidRPr="00F639AF" w:rsidRDefault="00F639AF" w:rsidP="00F639AF">
      <w:pPr>
        <w:pStyle w:val="Heading5"/>
      </w:pPr>
      <w:r w:rsidRPr="00F639AF">
        <w:t>4.2.</w:t>
      </w:r>
      <w:r w:rsidR="00B632D7">
        <w:t>5</w:t>
      </w:r>
      <w:r w:rsidRPr="00F639AF">
        <w:t>.2.4</w:t>
      </w:r>
      <w:r w:rsidRPr="00F639AF">
        <w:tab/>
      </w:r>
      <w:r w:rsidR="005A0CF5" w:rsidRPr="00F639AF">
        <w:t xml:space="preserve">PTC Client </w:t>
      </w:r>
      <w:r w:rsidR="00943BFD" w:rsidRPr="00F639AF">
        <w:t>C</w:t>
      </w:r>
      <w:r w:rsidR="005A0CF5" w:rsidRPr="00F639AF">
        <w:t xml:space="preserve"> is a target</w:t>
      </w:r>
    </w:p>
    <w:p w14:paraId="5A1F29FC" w14:textId="7270F753" w:rsidR="00DC103F" w:rsidRDefault="005A0CF5" w:rsidP="005A0CF5">
      <w:pPr>
        <w:pStyle w:val="NO"/>
        <w:ind w:left="0" w:firstLine="0"/>
      </w:pPr>
      <w:r>
        <w:t>The figure 4.2.</w:t>
      </w:r>
      <w:r w:rsidR="00B632D7">
        <w:t>5</w:t>
      </w:r>
      <w:r>
        <w:t>.2</w:t>
      </w:r>
      <w:r w:rsidR="00F639AF">
        <w:t>.4-1</w:t>
      </w:r>
      <w:r>
        <w:t xml:space="preserve"> illustrates a case of PTC Client </w:t>
      </w:r>
      <w:r w:rsidR="00943BFD">
        <w:t>C</w:t>
      </w:r>
      <w:r>
        <w:t xml:space="preserve"> </w:t>
      </w:r>
      <w:r w:rsidR="00B632D7">
        <w:t xml:space="preserve">the other </w:t>
      </w:r>
      <w:r>
        <w:t>destination PTC client of an ad-hoc group PTC session is the target. In the illustration, the LI is applicable only for PTC.</w:t>
      </w:r>
    </w:p>
    <w:p w14:paraId="33AF7A5E" w14:textId="77777777" w:rsidR="00F639AF" w:rsidRDefault="00F639AF" w:rsidP="00F639AF">
      <w:pPr>
        <w:pStyle w:val="NO"/>
        <w:ind w:left="0" w:firstLine="0"/>
      </w:pPr>
    </w:p>
    <w:p w14:paraId="6DF62F67" w14:textId="7B6A204D" w:rsidR="00F639AF" w:rsidRDefault="003D503C" w:rsidP="00F639AF">
      <w:pPr>
        <w:pStyle w:val="NO"/>
        <w:ind w:left="0" w:firstLine="0"/>
      </w:pPr>
      <w:r>
        <w:object w:dxaOrig="23052" w:dyaOrig="13237" w14:anchorId="44C00A3B">
          <v:shape id="_x0000_i1030" type="#_x0000_t75" style="width:481.65pt;height:276.55pt" o:ole="">
            <v:imagedata r:id="rId18" o:title=""/>
          </v:shape>
          <o:OLEObject Type="Embed" ProgID="Visio.Drawing.15" ShapeID="_x0000_i1030" DrawAspect="Content" ObjectID="_1823084742" r:id="rId19"/>
        </w:object>
      </w:r>
    </w:p>
    <w:p w14:paraId="188578A8" w14:textId="05EFD976" w:rsidR="00F639AF" w:rsidRDefault="00F639AF" w:rsidP="00F639AF">
      <w:pPr>
        <w:pStyle w:val="Caption"/>
        <w:jc w:val="center"/>
      </w:pPr>
      <w:r>
        <w:t>Figure 4.2.</w:t>
      </w:r>
      <w:r w:rsidR="00B632D7">
        <w:t>5</w:t>
      </w:r>
      <w:r>
        <w:t>.2.4-1: Ad-hoc group PTC session, PTC Client C is a target</w:t>
      </w:r>
    </w:p>
    <w:p w14:paraId="15B8037D" w14:textId="77777777" w:rsidR="00D70CD3" w:rsidRDefault="00F639AF" w:rsidP="00B632D7">
      <w:pPr>
        <w:spacing w:before="120"/>
        <w:rPr>
          <w:lang w:eastAsia="en-US"/>
        </w:rPr>
      </w:pPr>
      <w:r>
        <w:t>When PTC Client C is a target, the PTC Server C that provides the participating PTC function for PTC Client C provides the LI functions. The scope of LI functions provided by PTC Server C is limited to the information available in PTC Server C. In this illustration, the controlling PTC function is provided by PTC Server A present in the CSP A domain.</w:t>
      </w:r>
      <w:r w:rsidR="00D70CD3">
        <w:t xml:space="preserve"> </w:t>
      </w:r>
      <w:r>
        <w:rPr>
          <w:lang w:eastAsia="en-US"/>
        </w:rPr>
        <w:t>As shown in figure 4.2.</w:t>
      </w:r>
      <w:r w:rsidR="00B632D7">
        <w:rPr>
          <w:lang w:eastAsia="en-US"/>
        </w:rPr>
        <w:t>5</w:t>
      </w:r>
      <w:r>
        <w:rPr>
          <w:lang w:eastAsia="en-US"/>
        </w:rPr>
        <w:t>.2.4-1,</w:t>
      </w:r>
      <w:r w:rsidR="00D70CD3">
        <w:rPr>
          <w:lang w:eastAsia="en-US"/>
        </w:rPr>
        <w:t xml:space="preserve"> </w:t>
      </w:r>
      <w:r>
        <w:rPr>
          <w:lang w:eastAsia="en-US"/>
        </w:rPr>
        <w:t xml:space="preserve">the interception happens at the egress end of signalling and media flow. </w:t>
      </w:r>
      <w:r w:rsidR="00B632D7">
        <w:rPr>
          <w:lang w:eastAsia="en-US"/>
        </w:rPr>
        <w:t>In this illustration, PTC Client A has the floor</w:t>
      </w:r>
      <w:r w:rsidR="00D70CD3">
        <w:rPr>
          <w:lang w:eastAsia="en-US"/>
        </w:rPr>
        <w:t>.</w:t>
      </w:r>
    </w:p>
    <w:p w14:paraId="1EF5F04D" w14:textId="77777777" w:rsidR="00D70CD3" w:rsidRDefault="00F639AF" w:rsidP="00F639AF">
      <w:pPr>
        <w:spacing w:before="120"/>
        <w:rPr>
          <w:lang w:eastAsia="en-US"/>
        </w:rPr>
      </w:pPr>
      <w:r>
        <w:rPr>
          <w:lang w:eastAsia="en-US"/>
        </w:rPr>
        <w:t>The figure 4.2.</w:t>
      </w:r>
      <w:r w:rsidR="00B632D7">
        <w:rPr>
          <w:lang w:eastAsia="en-US"/>
        </w:rPr>
        <w:t>5</w:t>
      </w:r>
      <w:r>
        <w:rPr>
          <w:lang w:eastAsia="en-US"/>
        </w:rPr>
        <w:t>.2.4-2 illustrates the topology with different PTC clients having the floor</w:t>
      </w:r>
      <w:r w:rsidR="00D70CD3">
        <w:rPr>
          <w:lang w:eastAsia="en-US"/>
        </w:rPr>
        <w:t>.</w:t>
      </w:r>
    </w:p>
    <w:p w14:paraId="0CE24369" w14:textId="0E7E50FF" w:rsidR="005A0CF5" w:rsidRDefault="007C2BF1" w:rsidP="005A0CF5">
      <w:pPr>
        <w:pStyle w:val="NO"/>
        <w:ind w:left="0" w:firstLine="0"/>
      </w:pPr>
      <w:r>
        <w:object w:dxaOrig="23113" w:dyaOrig="28716" w14:anchorId="65914FE8">
          <v:shape id="_x0000_i1031" type="#_x0000_t75" style="width:480.55pt;height:597.25pt" o:ole="">
            <v:imagedata r:id="rId20" o:title=""/>
          </v:shape>
          <o:OLEObject Type="Embed" ProgID="Visio.Drawing.15" ShapeID="_x0000_i1031" DrawAspect="Content" ObjectID="_1823084743" r:id="rId21"/>
        </w:object>
      </w:r>
    </w:p>
    <w:p w14:paraId="7D7B2AF0" w14:textId="71964D9D" w:rsidR="00F639AF" w:rsidRDefault="005A0CF5" w:rsidP="00F639AF">
      <w:pPr>
        <w:pStyle w:val="Caption"/>
        <w:jc w:val="center"/>
      </w:pPr>
      <w:r>
        <w:t>Figure 4.2.</w:t>
      </w:r>
      <w:r w:rsidR="007C2BF1">
        <w:t>5</w:t>
      </w:r>
      <w:r>
        <w:t>.2</w:t>
      </w:r>
      <w:r w:rsidR="00F639AF">
        <w:t>.4-2</w:t>
      </w:r>
      <w:r>
        <w:t xml:space="preserve">: Ad-hoc group PTC session, PTC Client </w:t>
      </w:r>
      <w:r w:rsidR="00943BFD">
        <w:t>C</w:t>
      </w:r>
      <w:r>
        <w:t xml:space="preserve"> is a target</w:t>
      </w:r>
      <w:r w:rsidR="00F639AF">
        <w:t xml:space="preserve"> – floor control options</w:t>
      </w:r>
    </w:p>
    <w:p w14:paraId="5D14AE96" w14:textId="23C6A5C9" w:rsidR="007C2BF1" w:rsidRDefault="007C2BF1" w:rsidP="007C2BF1">
      <w:pPr>
        <w:spacing w:before="120"/>
      </w:pPr>
      <w:r>
        <w:t xml:space="preserve">As shown in figure 4.2.5.2.4-2, either the PTC Client B or PTC Client C (target) can also have the floor at any given time in addition to PTC Client A having the floor (figure 4.2.5.2.4-1). </w:t>
      </w:r>
      <w:r w:rsidR="00D90A0E" w:rsidRPr="00D90A0E">
        <w:t xml:space="preserve">The difference in the LI aspects is mainly the direction of media that is being intercepted. </w:t>
      </w:r>
      <w:r>
        <w:t>In all cases, the interception happens at the egress end of signalling and media flow with respect to the PTC Server C.</w:t>
      </w:r>
    </w:p>
    <w:p w14:paraId="202F9931" w14:textId="2642FC51" w:rsidR="007C2BF1" w:rsidRDefault="007C2BF1" w:rsidP="007C2BF1">
      <w:pPr>
        <w:pStyle w:val="Heading4"/>
      </w:pPr>
      <w:r>
        <w:lastRenderedPageBreak/>
        <w:t>4.2.5.3</w:t>
      </w:r>
      <w:r>
        <w:tab/>
        <w:t>Similarities between PTC client B and PTC client C from an LI perspective</w:t>
      </w:r>
    </w:p>
    <w:p w14:paraId="0498F61D" w14:textId="77777777" w:rsidR="00D70CD3" w:rsidRDefault="007C2BF1" w:rsidP="007C2BF1">
      <w:r>
        <w:t>The illustrations shown in clauses 4.2.5.2.3 and 4.2.5.2.5 show a similarity between the cases when PTC Client B or PTC Client C is a target. When such similarities occur, the illustrations are not repeated in the remaining clauses of the present document</w:t>
      </w:r>
      <w:r w:rsidR="00D70CD3">
        <w:t>.</w:t>
      </w:r>
    </w:p>
    <w:p w14:paraId="7B3E18B7" w14:textId="77777777" w:rsidR="00D70CD3" w:rsidRDefault="007C2BF1" w:rsidP="007C2BF1">
      <w:r>
        <w:t>In some instances, a single illustration may include all PTC clients as the targets</w:t>
      </w:r>
      <w:r w:rsidR="00D70CD3">
        <w:t>.</w:t>
      </w:r>
    </w:p>
    <w:p w14:paraId="1EE653D6" w14:textId="0859E1F5" w:rsidR="003746FA" w:rsidRPr="0070537E" w:rsidRDefault="003746FA" w:rsidP="003746FA">
      <w:pPr>
        <w:tabs>
          <w:tab w:val="left" w:pos="1985"/>
          <w:tab w:val="left" w:pos="2552"/>
          <w:tab w:val="left" w:pos="3544"/>
          <w:tab w:val="left" w:pos="3686"/>
          <w:tab w:val="left" w:pos="4111"/>
        </w:tabs>
        <w:jc w:val="center"/>
        <w:rPr>
          <w:bCs/>
          <w:color w:val="7030A0"/>
          <w:sz w:val="56"/>
          <w:szCs w:val="56"/>
        </w:rPr>
      </w:pPr>
      <w:r w:rsidRPr="0070537E">
        <w:rPr>
          <w:bCs/>
          <w:color w:val="7030A0"/>
          <w:sz w:val="56"/>
          <w:szCs w:val="56"/>
        </w:rPr>
        <w:t>***** End of the new text ****</w:t>
      </w:r>
    </w:p>
    <w:p w14:paraId="5DB25EA9" w14:textId="77777777" w:rsidR="003746FA" w:rsidRPr="003746FA" w:rsidRDefault="003746FA" w:rsidP="003746FA"/>
    <w:sectPr w:rsidR="003746FA" w:rsidRPr="003746FA">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7F0F"/>
    <w:multiLevelType w:val="hybridMultilevel"/>
    <w:tmpl w:val="78FA6A66"/>
    <w:lvl w:ilvl="0" w:tplc="AC26CA0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296337"/>
    <w:multiLevelType w:val="hybridMultilevel"/>
    <w:tmpl w:val="7D7A4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821EB8"/>
    <w:multiLevelType w:val="hybridMultilevel"/>
    <w:tmpl w:val="1674C26E"/>
    <w:lvl w:ilvl="0" w:tplc="3D9AAA9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61063"/>
    <w:multiLevelType w:val="hybridMultilevel"/>
    <w:tmpl w:val="64AEC3A0"/>
    <w:lvl w:ilvl="0" w:tplc="B8CCD9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B2D9C"/>
    <w:multiLevelType w:val="hybridMultilevel"/>
    <w:tmpl w:val="27E282D4"/>
    <w:lvl w:ilvl="0" w:tplc="E3F6F51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DDF350E"/>
    <w:multiLevelType w:val="hybridMultilevel"/>
    <w:tmpl w:val="369EA2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85772A"/>
    <w:multiLevelType w:val="hybridMultilevel"/>
    <w:tmpl w:val="A7DAD5C6"/>
    <w:lvl w:ilvl="0" w:tplc="40D2246C">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464B3E"/>
    <w:multiLevelType w:val="hybridMultilevel"/>
    <w:tmpl w:val="B1C2D558"/>
    <w:lvl w:ilvl="0" w:tplc="FB9652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E71147"/>
    <w:multiLevelType w:val="hybridMultilevel"/>
    <w:tmpl w:val="E3945FD0"/>
    <w:lvl w:ilvl="0" w:tplc="10D2B3D8">
      <w:start w:val="4"/>
      <w:numFmt w:val="bullet"/>
      <w:lvlText w:val="-"/>
      <w:lvlJc w:val="left"/>
      <w:pPr>
        <w:ind w:left="1070"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04D227C"/>
    <w:multiLevelType w:val="hybridMultilevel"/>
    <w:tmpl w:val="B52C0A80"/>
    <w:lvl w:ilvl="0" w:tplc="38F6B98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4D56DB"/>
    <w:multiLevelType w:val="hybridMultilevel"/>
    <w:tmpl w:val="44FCCA86"/>
    <w:lvl w:ilvl="0" w:tplc="D8AE388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B42DF"/>
    <w:multiLevelType w:val="hybridMultilevel"/>
    <w:tmpl w:val="C652C508"/>
    <w:lvl w:ilvl="0" w:tplc="27BCA69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4863EE"/>
    <w:multiLevelType w:val="hybridMultilevel"/>
    <w:tmpl w:val="FD96150C"/>
    <w:lvl w:ilvl="0" w:tplc="91C6DC9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2635157">
    <w:abstractNumId w:val="14"/>
  </w:num>
  <w:num w:numId="2" w16cid:durableId="64032208">
    <w:abstractNumId w:val="15"/>
  </w:num>
  <w:num w:numId="3" w16cid:durableId="550578688">
    <w:abstractNumId w:val="8"/>
  </w:num>
  <w:num w:numId="4" w16cid:durableId="1112628801">
    <w:abstractNumId w:val="5"/>
  </w:num>
  <w:num w:numId="5" w16cid:durableId="305278245">
    <w:abstractNumId w:val="2"/>
  </w:num>
  <w:num w:numId="6" w16cid:durableId="1893691534">
    <w:abstractNumId w:val="5"/>
  </w:num>
  <w:num w:numId="7" w16cid:durableId="2035837267">
    <w:abstractNumId w:val="5"/>
  </w:num>
  <w:num w:numId="8" w16cid:durableId="1594969936">
    <w:abstractNumId w:val="4"/>
  </w:num>
  <w:num w:numId="9" w16cid:durableId="145319192">
    <w:abstractNumId w:val="6"/>
  </w:num>
  <w:num w:numId="10" w16cid:durableId="642127919">
    <w:abstractNumId w:val="9"/>
  </w:num>
  <w:num w:numId="11" w16cid:durableId="951475533">
    <w:abstractNumId w:val="13"/>
  </w:num>
  <w:num w:numId="12" w16cid:durableId="1168712691">
    <w:abstractNumId w:val="3"/>
  </w:num>
  <w:num w:numId="13" w16cid:durableId="1888450267">
    <w:abstractNumId w:val="10"/>
  </w:num>
  <w:num w:numId="14" w16cid:durableId="528102457">
    <w:abstractNumId w:val="1"/>
  </w:num>
  <w:num w:numId="15" w16cid:durableId="288098935">
    <w:abstractNumId w:val="11"/>
  </w:num>
  <w:num w:numId="16" w16cid:durableId="228732913">
    <w:abstractNumId w:val="12"/>
  </w:num>
  <w:num w:numId="17" w16cid:durableId="1733844299">
    <w:abstractNumId w:val="0"/>
  </w:num>
  <w:num w:numId="18" w16cid:durableId="376514767">
    <w:abstractNumId w:val="16"/>
  </w:num>
  <w:num w:numId="19" w16cid:durableId="185626125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06C03"/>
    <w:rsid w:val="00010F89"/>
    <w:rsid w:val="00011740"/>
    <w:rsid w:val="000152C8"/>
    <w:rsid w:val="00015818"/>
    <w:rsid w:val="00017B39"/>
    <w:rsid w:val="00020339"/>
    <w:rsid w:val="000222BA"/>
    <w:rsid w:val="0002328E"/>
    <w:rsid w:val="00024964"/>
    <w:rsid w:val="00024F20"/>
    <w:rsid w:val="00030037"/>
    <w:rsid w:val="0003196A"/>
    <w:rsid w:val="00033505"/>
    <w:rsid w:val="0003464D"/>
    <w:rsid w:val="0003544D"/>
    <w:rsid w:val="00036EC1"/>
    <w:rsid w:val="00037B82"/>
    <w:rsid w:val="00037C34"/>
    <w:rsid w:val="00040206"/>
    <w:rsid w:val="00041210"/>
    <w:rsid w:val="000424AD"/>
    <w:rsid w:val="00044897"/>
    <w:rsid w:val="0004687B"/>
    <w:rsid w:val="00046D97"/>
    <w:rsid w:val="0005220C"/>
    <w:rsid w:val="00052AAB"/>
    <w:rsid w:val="000575B9"/>
    <w:rsid w:val="00060E94"/>
    <w:rsid w:val="000612FC"/>
    <w:rsid w:val="00063C6D"/>
    <w:rsid w:val="00064045"/>
    <w:rsid w:val="000653D3"/>
    <w:rsid w:val="00066166"/>
    <w:rsid w:val="00066FEB"/>
    <w:rsid w:val="000702FA"/>
    <w:rsid w:val="0007418E"/>
    <w:rsid w:val="000751A3"/>
    <w:rsid w:val="0007785C"/>
    <w:rsid w:val="00077D47"/>
    <w:rsid w:val="00080A61"/>
    <w:rsid w:val="00081759"/>
    <w:rsid w:val="00081B86"/>
    <w:rsid w:val="0008440D"/>
    <w:rsid w:val="000850FC"/>
    <w:rsid w:val="000860CA"/>
    <w:rsid w:val="00087FF0"/>
    <w:rsid w:val="000920F3"/>
    <w:rsid w:val="00092885"/>
    <w:rsid w:val="000957F2"/>
    <w:rsid w:val="0009633F"/>
    <w:rsid w:val="00097A20"/>
    <w:rsid w:val="000A0B54"/>
    <w:rsid w:val="000A438E"/>
    <w:rsid w:val="000A52D1"/>
    <w:rsid w:val="000A58CD"/>
    <w:rsid w:val="000A6400"/>
    <w:rsid w:val="000A6465"/>
    <w:rsid w:val="000A74B7"/>
    <w:rsid w:val="000A7B31"/>
    <w:rsid w:val="000B2B16"/>
    <w:rsid w:val="000B302A"/>
    <w:rsid w:val="000B313B"/>
    <w:rsid w:val="000B3595"/>
    <w:rsid w:val="000B3C1D"/>
    <w:rsid w:val="000B7D90"/>
    <w:rsid w:val="000C2BCE"/>
    <w:rsid w:val="000D1172"/>
    <w:rsid w:val="000D1DB2"/>
    <w:rsid w:val="000D2437"/>
    <w:rsid w:val="000D3EE5"/>
    <w:rsid w:val="000D43FA"/>
    <w:rsid w:val="000D4708"/>
    <w:rsid w:val="000D6AA0"/>
    <w:rsid w:val="000D72E0"/>
    <w:rsid w:val="000E097A"/>
    <w:rsid w:val="000E18F5"/>
    <w:rsid w:val="000E1BCE"/>
    <w:rsid w:val="000E3461"/>
    <w:rsid w:val="000E443D"/>
    <w:rsid w:val="000E465A"/>
    <w:rsid w:val="000E494D"/>
    <w:rsid w:val="000E4B76"/>
    <w:rsid w:val="000E4E8E"/>
    <w:rsid w:val="000E4F62"/>
    <w:rsid w:val="000E7625"/>
    <w:rsid w:val="000F56BC"/>
    <w:rsid w:val="000F675D"/>
    <w:rsid w:val="000F76D1"/>
    <w:rsid w:val="000F78E9"/>
    <w:rsid w:val="001000AE"/>
    <w:rsid w:val="0010097F"/>
    <w:rsid w:val="00101CA5"/>
    <w:rsid w:val="0010260F"/>
    <w:rsid w:val="00103706"/>
    <w:rsid w:val="00105D74"/>
    <w:rsid w:val="00105FC8"/>
    <w:rsid w:val="001069C7"/>
    <w:rsid w:val="00111280"/>
    <w:rsid w:val="0011186C"/>
    <w:rsid w:val="00114C46"/>
    <w:rsid w:val="00116717"/>
    <w:rsid w:val="00121111"/>
    <w:rsid w:val="0012358E"/>
    <w:rsid w:val="00123E60"/>
    <w:rsid w:val="0012432B"/>
    <w:rsid w:val="00124B70"/>
    <w:rsid w:val="001252F2"/>
    <w:rsid w:val="00126BC5"/>
    <w:rsid w:val="00126D69"/>
    <w:rsid w:val="00130549"/>
    <w:rsid w:val="00131283"/>
    <w:rsid w:val="00134206"/>
    <w:rsid w:val="00134871"/>
    <w:rsid w:val="001349A2"/>
    <w:rsid w:val="00137265"/>
    <w:rsid w:val="00141CBC"/>
    <w:rsid w:val="00146465"/>
    <w:rsid w:val="00147D03"/>
    <w:rsid w:val="001519BF"/>
    <w:rsid w:val="001525BE"/>
    <w:rsid w:val="00152A6A"/>
    <w:rsid w:val="00152E23"/>
    <w:rsid w:val="00154629"/>
    <w:rsid w:val="001546D9"/>
    <w:rsid w:val="00154C8D"/>
    <w:rsid w:val="00155509"/>
    <w:rsid w:val="001559C8"/>
    <w:rsid w:val="00155C15"/>
    <w:rsid w:val="00155EDE"/>
    <w:rsid w:val="00156152"/>
    <w:rsid w:val="001562FB"/>
    <w:rsid w:val="00157E37"/>
    <w:rsid w:val="00157F73"/>
    <w:rsid w:val="001603B8"/>
    <w:rsid w:val="00160C33"/>
    <w:rsid w:val="001615B9"/>
    <w:rsid w:val="001617EE"/>
    <w:rsid w:val="001670A7"/>
    <w:rsid w:val="00167206"/>
    <w:rsid w:val="00167FC5"/>
    <w:rsid w:val="00170016"/>
    <w:rsid w:val="00170D24"/>
    <w:rsid w:val="001724F8"/>
    <w:rsid w:val="00173A2F"/>
    <w:rsid w:val="00175371"/>
    <w:rsid w:val="001772CA"/>
    <w:rsid w:val="0017748C"/>
    <w:rsid w:val="00180186"/>
    <w:rsid w:val="00180883"/>
    <w:rsid w:val="001822B1"/>
    <w:rsid w:val="00186DD4"/>
    <w:rsid w:val="00186E9E"/>
    <w:rsid w:val="00187046"/>
    <w:rsid w:val="00191C6D"/>
    <w:rsid w:val="00193A3A"/>
    <w:rsid w:val="00193DD0"/>
    <w:rsid w:val="0019465F"/>
    <w:rsid w:val="0019492C"/>
    <w:rsid w:val="0019731A"/>
    <w:rsid w:val="001A0E30"/>
    <w:rsid w:val="001A1876"/>
    <w:rsid w:val="001A2496"/>
    <w:rsid w:val="001A397B"/>
    <w:rsid w:val="001A3A57"/>
    <w:rsid w:val="001A3D46"/>
    <w:rsid w:val="001A3D79"/>
    <w:rsid w:val="001A3E09"/>
    <w:rsid w:val="001A794D"/>
    <w:rsid w:val="001B0521"/>
    <w:rsid w:val="001B20AF"/>
    <w:rsid w:val="001B3591"/>
    <w:rsid w:val="001B4DD0"/>
    <w:rsid w:val="001B65E2"/>
    <w:rsid w:val="001B7C3E"/>
    <w:rsid w:val="001C0C7B"/>
    <w:rsid w:val="001C1017"/>
    <w:rsid w:val="001C2D42"/>
    <w:rsid w:val="001C37FD"/>
    <w:rsid w:val="001C49FC"/>
    <w:rsid w:val="001C5305"/>
    <w:rsid w:val="001C60A4"/>
    <w:rsid w:val="001C7615"/>
    <w:rsid w:val="001C7ABA"/>
    <w:rsid w:val="001C7C73"/>
    <w:rsid w:val="001D3745"/>
    <w:rsid w:val="001D3F6F"/>
    <w:rsid w:val="001D4735"/>
    <w:rsid w:val="001D643E"/>
    <w:rsid w:val="001E0C88"/>
    <w:rsid w:val="001E46F3"/>
    <w:rsid w:val="001E65A9"/>
    <w:rsid w:val="001E696E"/>
    <w:rsid w:val="001E6F0F"/>
    <w:rsid w:val="001E6FC8"/>
    <w:rsid w:val="001E7A42"/>
    <w:rsid w:val="001F0B7C"/>
    <w:rsid w:val="001F0BB1"/>
    <w:rsid w:val="001F5026"/>
    <w:rsid w:val="001F79BC"/>
    <w:rsid w:val="001F7B24"/>
    <w:rsid w:val="0020150D"/>
    <w:rsid w:val="00202098"/>
    <w:rsid w:val="00202758"/>
    <w:rsid w:val="00202C89"/>
    <w:rsid w:val="00205736"/>
    <w:rsid w:val="00207016"/>
    <w:rsid w:val="00207137"/>
    <w:rsid w:val="00210765"/>
    <w:rsid w:val="00210C27"/>
    <w:rsid w:val="00211F93"/>
    <w:rsid w:val="00213A8A"/>
    <w:rsid w:val="00214B7D"/>
    <w:rsid w:val="00214F18"/>
    <w:rsid w:val="00216BE9"/>
    <w:rsid w:val="0021777F"/>
    <w:rsid w:val="00220935"/>
    <w:rsid w:val="00220D09"/>
    <w:rsid w:val="002225B0"/>
    <w:rsid w:val="002314A7"/>
    <w:rsid w:val="00232473"/>
    <w:rsid w:val="002326C0"/>
    <w:rsid w:val="00232CFD"/>
    <w:rsid w:val="00232EAC"/>
    <w:rsid w:val="002341E6"/>
    <w:rsid w:val="00241E6B"/>
    <w:rsid w:val="0024217F"/>
    <w:rsid w:val="0024224A"/>
    <w:rsid w:val="00245AA6"/>
    <w:rsid w:val="00246040"/>
    <w:rsid w:val="002477D8"/>
    <w:rsid w:val="00251981"/>
    <w:rsid w:val="00251B37"/>
    <w:rsid w:val="00252061"/>
    <w:rsid w:val="0025337F"/>
    <w:rsid w:val="00254699"/>
    <w:rsid w:val="00255E01"/>
    <w:rsid w:val="002567C7"/>
    <w:rsid w:val="00260F18"/>
    <w:rsid w:val="00261129"/>
    <w:rsid w:val="002631BB"/>
    <w:rsid w:val="002654FE"/>
    <w:rsid w:val="0026573B"/>
    <w:rsid w:val="002715F6"/>
    <w:rsid w:val="00272EC0"/>
    <w:rsid w:val="002739F5"/>
    <w:rsid w:val="002743C7"/>
    <w:rsid w:val="002771A6"/>
    <w:rsid w:val="00277818"/>
    <w:rsid w:val="0028056F"/>
    <w:rsid w:val="002829B2"/>
    <w:rsid w:val="00285DA8"/>
    <w:rsid w:val="00287EF5"/>
    <w:rsid w:val="00290BD7"/>
    <w:rsid w:val="002916EF"/>
    <w:rsid w:val="002946AB"/>
    <w:rsid w:val="00295896"/>
    <w:rsid w:val="002A1336"/>
    <w:rsid w:val="002A4882"/>
    <w:rsid w:val="002A5319"/>
    <w:rsid w:val="002A5C77"/>
    <w:rsid w:val="002A60A8"/>
    <w:rsid w:val="002B055F"/>
    <w:rsid w:val="002B2F16"/>
    <w:rsid w:val="002B3BAC"/>
    <w:rsid w:val="002B4A6D"/>
    <w:rsid w:val="002B5848"/>
    <w:rsid w:val="002B63FA"/>
    <w:rsid w:val="002B69CA"/>
    <w:rsid w:val="002B6C7A"/>
    <w:rsid w:val="002B7D2E"/>
    <w:rsid w:val="002B7F5C"/>
    <w:rsid w:val="002C112B"/>
    <w:rsid w:val="002C1351"/>
    <w:rsid w:val="002C2675"/>
    <w:rsid w:val="002C4102"/>
    <w:rsid w:val="002C4D34"/>
    <w:rsid w:val="002C577F"/>
    <w:rsid w:val="002C6194"/>
    <w:rsid w:val="002D0297"/>
    <w:rsid w:val="002D4751"/>
    <w:rsid w:val="002D595F"/>
    <w:rsid w:val="002D637E"/>
    <w:rsid w:val="002D6BBE"/>
    <w:rsid w:val="002D7113"/>
    <w:rsid w:val="002D77CD"/>
    <w:rsid w:val="002E560D"/>
    <w:rsid w:val="002E7C6F"/>
    <w:rsid w:val="002F10E4"/>
    <w:rsid w:val="002F12B1"/>
    <w:rsid w:val="002F159E"/>
    <w:rsid w:val="002F27DB"/>
    <w:rsid w:val="002F563F"/>
    <w:rsid w:val="002F7EB5"/>
    <w:rsid w:val="00300984"/>
    <w:rsid w:val="003013E7"/>
    <w:rsid w:val="00302550"/>
    <w:rsid w:val="00302C13"/>
    <w:rsid w:val="0030369B"/>
    <w:rsid w:val="003053CE"/>
    <w:rsid w:val="00305CA1"/>
    <w:rsid w:val="00305F3B"/>
    <w:rsid w:val="00312E78"/>
    <w:rsid w:val="00312EC6"/>
    <w:rsid w:val="00313AFD"/>
    <w:rsid w:val="00314544"/>
    <w:rsid w:val="00314BC3"/>
    <w:rsid w:val="00316377"/>
    <w:rsid w:val="0031648F"/>
    <w:rsid w:val="00323A53"/>
    <w:rsid w:val="00325D9A"/>
    <w:rsid w:val="00326F1A"/>
    <w:rsid w:val="00330264"/>
    <w:rsid w:val="00332306"/>
    <w:rsid w:val="003327C5"/>
    <w:rsid w:val="003377DA"/>
    <w:rsid w:val="00337943"/>
    <w:rsid w:val="00337F56"/>
    <w:rsid w:val="0034022C"/>
    <w:rsid w:val="00340348"/>
    <w:rsid w:val="003448E8"/>
    <w:rsid w:val="0034627C"/>
    <w:rsid w:val="00347117"/>
    <w:rsid w:val="00350825"/>
    <w:rsid w:val="003514CD"/>
    <w:rsid w:val="00351BC6"/>
    <w:rsid w:val="00351FC6"/>
    <w:rsid w:val="003521FA"/>
    <w:rsid w:val="00352296"/>
    <w:rsid w:val="003523EA"/>
    <w:rsid w:val="00352B25"/>
    <w:rsid w:val="003538FE"/>
    <w:rsid w:val="00355227"/>
    <w:rsid w:val="003553E9"/>
    <w:rsid w:val="0035693A"/>
    <w:rsid w:val="00356D87"/>
    <w:rsid w:val="00362982"/>
    <w:rsid w:val="00363D86"/>
    <w:rsid w:val="00367BB2"/>
    <w:rsid w:val="00367FD0"/>
    <w:rsid w:val="00371145"/>
    <w:rsid w:val="003716A1"/>
    <w:rsid w:val="003746FA"/>
    <w:rsid w:val="00374B2C"/>
    <w:rsid w:val="00374C1E"/>
    <w:rsid w:val="00375AF5"/>
    <w:rsid w:val="00375D15"/>
    <w:rsid w:val="0037676C"/>
    <w:rsid w:val="00376B54"/>
    <w:rsid w:val="00381662"/>
    <w:rsid w:val="003878DD"/>
    <w:rsid w:val="00390B4B"/>
    <w:rsid w:val="00392031"/>
    <w:rsid w:val="00392C84"/>
    <w:rsid w:val="00393D0A"/>
    <w:rsid w:val="003940EC"/>
    <w:rsid w:val="00394EBF"/>
    <w:rsid w:val="00396B07"/>
    <w:rsid w:val="003A018C"/>
    <w:rsid w:val="003A0FFB"/>
    <w:rsid w:val="003A2B10"/>
    <w:rsid w:val="003A2C8B"/>
    <w:rsid w:val="003A3772"/>
    <w:rsid w:val="003A518E"/>
    <w:rsid w:val="003A5FD2"/>
    <w:rsid w:val="003A6602"/>
    <w:rsid w:val="003A7D21"/>
    <w:rsid w:val="003B0FA6"/>
    <w:rsid w:val="003B13A7"/>
    <w:rsid w:val="003B2322"/>
    <w:rsid w:val="003B2811"/>
    <w:rsid w:val="003B318A"/>
    <w:rsid w:val="003B4D12"/>
    <w:rsid w:val="003B781C"/>
    <w:rsid w:val="003C0345"/>
    <w:rsid w:val="003C18DF"/>
    <w:rsid w:val="003C2F08"/>
    <w:rsid w:val="003C43EC"/>
    <w:rsid w:val="003C4D64"/>
    <w:rsid w:val="003C5AD6"/>
    <w:rsid w:val="003C7F00"/>
    <w:rsid w:val="003D0661"/>
    <w:rsid w:val="003D13F5"/>
    <w:rsid w:val="003D1AB3"/>
    <w:rsid w:val="003D25ED"/>
    <w:rsid w:val="003D3C85"/>
    <w:rsid w:val="003D4F43"/>
    <w:rsid w:val="003D503C"/>
    <w:rsid w:val="003D6434"/>
    <w:rsid w:val="003D6FB5"/>
    <w:rsid w:val="003D71F4"/>
    <w:rsid w:val="003E01E7"/>
    <w:rsid w:val="003E1043"/>
    <w:rsid w:val="003E2D35"/>
    <w:rsid w:val="003E3394"/>
    <w:rsid w:val="003E56A4"/>
    <w:rsid w:val="003E5D43"/>
    <w:rsid w:val="003F12D4"/>
    <w:rsid w:val="003F31E7"/>
    <w:rsid w:val="003F486B"/>
    <w:rsid w:val="003F4CD8"/>
    <w:rsid w:val="003F515C"/>
    <w:rsid w:val="003F7A2B"/>
    <w:rsid w:val="00401753"/>
    <w:rsid w:val="00401D14"/>
    <w:rsid w:val="00402065"/>
    <w:rsid w:val="004027F0"/>
    <w:rsid w:val="00402F7B"/>
    <w:rsid w:val="00404542"/>
    <w:rsid w:val="00404B45"/>
    <w:rsid w:val="00404F8A"/>
    <w:rsid w:val="00404FF9"/>
    <w:rsid w:val="00406404"/>
    <w:rsid w:val="0040696E"/>
    <w:rsid w:val="00407CF5"/>
    <w:rsid w:val="00410134"/>
    <w:rsid w:val="00410A21"/>
    <w:rsid w:val="00411B6A"/>
    <w:rsid w:val="00413F64"/>
    <w:rsid w:val="00416D95"/>
    <w:rsid w:val="00417B3E"/>
    <w:rsid w:val="00420BA1"/>
    <w:rsid w:val="00421567"/>
    <w:rsid w:val="004234A4"/>
    <w:rsid w:val="00423973"/>
    <w:rsid w:val="00425E42"/>
    <w:rsid w:val="0042637B"/>
    <w:rsid w:val="0043647A"/>
    <w:rsid w:val="00436998"/>
    <w:rsid w:val="00440983"/>
    <w:rsid w:val="00440EF6"/>
    <w:rsid w:val="004423AF"/>
    <w:rsid w:val="00442443"/>
    <w:rsid w:val="00444A9A"/>
    <w:rsid w:val="004456B1"/>
    <w:rsid w:val="004464AF"/>
    <w:rsid w:val="0044777E"/>
    <w:rsid w:val="0045115B"/>
    <w:rsid w:val="00453F65"/>
    <w:rsid w:val="00453FC3"/>
    <w:rsid w:val="004540D6"/>
    <w:rsid w:val="00454BFA"/>
    <w:rsid w:val="00457151"/>
    <w:rsid w:val="0046162B"/>
    <w:rsid w:val="00462211"/>
    <w:rsid w:val="00462F6A"/>
    <w:rsid w:val="00464125"/>
    <w:rsid w:val="00467075"/>
    <w:rsid w:val="004709BE"/>
    <w:rsid w:val="00470EDD"/>
    <w:rsid w:val="0047230D"/>
    <w:rsid w:val="00472B63"/>
    <w:rsid w:val="00473461"/>
    <w:rsid w:val="00474B2E"/>
    <w:rsid w:val="00477D3A"/>
    <w:rsid w:val="00480143"/>
    <w:rsid w:val="00481511"/>
    <w:rsid w:val="004820DF"/>
    <w:rsid w:val="00482569"/>
    <w:rsid w:val="00484750"/>
    <w:rsid w:val="004911AE"/>
    <w:rsid w:val="00491577"/>
    <w:rsid w:val="004919E8"/>
    <w:rsid w:val="00491A87"/>
    <w:rsid w:val="00492523"/>
    <w:rsid w:val="004934E0"/>
    <w:rsid w:val="004950C7"/>
    <w:rsid w:val="004A0A62"/>
    <w:rsid w:val="004A20D0"/>
    <w:rsid w:val="004A2E8B"/>
    <w:rsid w:val="004A3137"/>
    <w:rsid w:val="004A3DC0"/>
    <w:rsid w:val="004A4079"/>
    <w:rsid w:val="004A5DA6"/>
    <w:rsid w:val="004B10F9"/>
    <w:rsid w:val="004B3EA6"/>
    <w:rsid w:val="004B4BBE"/>
    <w:rsid w:val="004B629A"/>
    <w:rsid w:val="004B6360"/>
    <w:rsid w:val="004B6910"/>
    <w:rsid w:val="004C0716"/>
    <w:rsid w:val="004C1C76"/>
    <w:rsid w:val="004C2287"/>
    <w:rsid w:val="004C34C8"/>
    <w:rsid w:val="004C37C3"/>
    <w:rsid w:val="004C3BBE"/>
    <w:rsid w:val="004D0C39"/>
    <w:rsid w:val="004D1067"/>
    <w:rsid w:val="004D2CE3"/>
    <w:rsid w:val="004D583E"/>
    <w:rsid w:val="004D5AB6"/>
    <w:rsid w:val="004D63ED"/>
    <w:rsid w:val="004D6627"/>
    <w:rsid w:val="004D70CB"/>
    <w:rsid w:val="004E199D"/>
    <w:rsid w:val="004E7099"/>
    <w:rsid w:val="004E71BC"/>
    <w:rsid w:val="004F1BE2"/>
    <w:rsid w:val="004F2EE5"/>
    <w:rsid w:val="004F7B80"/>
    <w:rsid w:val="005019B5"/>
    <w:rsid w:val="00501D10"/>
    <w:rsid w:val="00502CCD"/>
    <w:rsid w:val="00504DFF"/>
    <w:rsid w:val="00506226"/>
    <w:rsid w:val="00507F03"/>
    <w:rsid w:val="00511B4C"/>
    <w:rsid w:val="00513927"/>
    <w:rsid w:val="00520743"/>
    <w:rsid w:val="00521E63"/>
    <w:rsid w:val="00522D3F"/>
    <w:rsid w:val="005247AD"/>
    <w:rsid w:val="00525295"/>
    <w:rsid w:val="00526E29"/>
    <w:rsid w:val="00530707"/>
    <w:rsid w:val="005326B5"/>
    <w:rsid w:val="005335DF"/>
    <w:rsid w:val="0054026E"/>
    <w:rsid w:val="00540BF1"/>
    <w:rsid w:val="00540C42"/>
    <w:rsid w:val="00541287"/>
    <w:rsid w:val="00543A72"/>
    <w:rsid w:val="00545473"/>
    <w:rsid w:val="00545FF7"/>
    <w:rsid w:val="0054662E"/>
    <w:rsid w:val="005476DA"/>
    <w:rsid w:val="005478B4"/>
    <w:rsid w:val="00547EB7"/>
    <w:rsid w:val="00550419"/>
    <w:rsid w:val="005509C5"/>
    <w:rsid w:val="005537D4"/>
    <w:rsid w:val="00553B4C"/>
    <w:rsid w:val="0055515B"/>
    <w:rsid w:val="0055614F"/>
    <w:rsid w:val="00560075"/>
    <w:rsid w:val="005607A4"/>
    <w:rsid w:val="00561948"/>
    <w:rsid w:val="0056208B"/>
    <w:rsid w:val="00564DED"/>
    <w:rsid w:val="00565772"/>
    <w:rsid w:val="005678E9"/>
    <w:rsid w:val="00567F0C"/>
    <w:rsid w:val="00571B99"/>
    <w:rsid w:val="005755FC"/>
    <w:rsid w:val="00575C82"/>
    <w:rsid w:val="00576AD1"/>
    <w:rsid w:val="00577335"/>
    <w:rsid w:val="005808F3"/>
    <w:rsid w:val="00580A4D"/>
    <w:rsid w:val="005912D1"/>
    <w:rsid w:val="005931C5"/>
    <w:rsid w:val="005935A7"/>
    <w:rsid w:val="00593696"/>
    <w:rsid w:val="00593BCF"/>
    <w:rsid w:val="005A06EE"/>
    <w:rsid w:val="005A0CF5"/>
    <w:rsid w:val="005A21EF"/>
    <w:rsid w:val="005A22E6"/>
    <w:rsid w:val="005A247A"/>
    <w:rsid w:val="005A26F1"/>
    <w:rsid w:val="005A4E11"/>
    <w:rsid w:val="005A5027"/>
    <w:rsid w:val="005A64C0"/>
    <w:rsid w:val="005A6C7A"/>
    <w:rsid w:val="005B07D5"/>
    <w:rsid w:val="005B2E7F"/>
    <w:rsid w:val="005B5220"/>
    <w:rsid w:val="005B6712"/>
    <w:rsid w:val="005B7F3C"/>
    <w:rsid w:val="005C39F7"/>
    <w:rsid w:val="005C7595"/>
    <w:rsid w:val="005C7FAC"/>
    <w:rsid w:val="005D044B"/>
    <w:rsid w:val="005D35B8"/>
    <w:rsid w:val="005D385C"/>
    <w:rsid w:val="005D45C6"/>
    <w:rsid w:val="005D62BD"/>
    <w:rsid w:val="005D79E5"/>
    <w:rsid w:val="005E1405"/>
    <w:rsid w:val="005E1524"/>
    <w:rsid w:val="005E281B"/>
    <w:rsid w:val="005E34D8"/>
    <w:rsid w:val="005E44C2"/>
    <w:rsid w:val="005E557F"/>
    <w:rsid w:val="005F0112"/>
    <w:rsid w:val="005F12DB"/>
    <w:rsid w:val="005F1A15"/>
    <w:rsid w:val="005F4734"/>
    <w:rsid w:val="005F4E68"/>
    <w:rsid w:val="005F6631"/>
    <w:rsid w:val="005F6DBC"/>
    <w:rsid w:val="005F7B19"/>
    <w:rsid w:val="00601EA1"/>
    <w:rsid w:val="00603C77"/>
    <w:rsid w:val="00603E75"/>
    <w:rsid w:val="00604298"/>
    <w:rsid w:val="00605E6D"/>
    <w:rsid w:val="006108D5"/>
    <w:rsid w:val="00613EC4"/>
    <w:rsid w:val="00613F55"/>
    <w:rsid w:val="0061424E"/>
    <w:rsid w:val="0062119C"/>
    <w:rsid w:val="00623E1D"/>
    <w:rsid w:val="00624F30"/>
    <w:rsid w:val="006258D4"/>
    <w:rsid w:val="006266EE"/>
    <w:rsid w:val="006270FE"/>
    <w:rsid w:val="0063271A"/>
    <w:rsid w:val="006338B4"/>
    <w:rsid w:val="006345A6"/>
    <w:rsid w:val="006352EC"/>
    <w:rsid w:val="00636429"/>
    <w:rsid w:val="00637024"/>
    <w:rsid w:val="00637813"/>
    <w:rsid w:val="006426BB"/>
    <w:rsid w:val="00642C37"/>
    <w:rsid w:val="00642FFC"/>
    <w:rsid w:val="0064339E"/>
    <w:rsid w:val="006437B6"/>
    <w:rsid w:val="00643D90"/>
    <w:rsid w:val="00644A2F"/>
    <w:rsid w:val="00653080"/>
    <w:rsid w:val="00653734"/>
    <w:rsid w:val="00654165"/>
    <w:rsid w:val="00654502"/>
    <w:rsid w:val="00654A00"/>
    <w:rsid w:val="00657938"/>
    <w:rsid w:val="006602DD"/>
    <w:rsid w:val="006607C1"/>
    <w:rsid w:val="006612B2"/>
    <w:rsid w:val="006618E2"/>
    <w:rsid w:val="00661C12"/>
    <w:rsid w:val="00661D3C"/>
    <w:rsid w:val="00661F8D"/>
    <w:rsid w:val="00662F86"/>
    <w:rsid w:val="00663A5C"/>
    <w:rsid w:val="00663C22"/>
    <w:rsid w:val="00664268"/>
    <w:rsid w:val="00665D7A"/>
    <w:rsid w:val="00666233"/>
    <w:rsid w:val="00670B55"/>
    <w:rsid w:val="00671D5F"/>
    <w:rsid w:val="0067243F"/>
    <w:rsid w:val="00674A41"/>
    <w:rsid w:val="00675B79"/>
    <w:rsid w:val="00675E03"/>
    <w:rsid w:val="00676E32"/>
    <w:rsid w:val="006775A8"/>
    <w:rsid w:val="00680444"/>
    <w:rsid w:val="006848B2"/>
    <w:rsid w:val="006868ED"/>
    <w:rsid w:val="00692A03"/>
    <w:rsid w:val="00694F1A"/>
    <w:rsid w:val="006A1E86"/>
    <w:rsid w:val="006A2B18"/>
    <w:rsid w:val="006A3147"/>
    <w:rsid w:val="006A5E44"/>
    <w:rsid w:val="006A69BD"/>
    <w:rsid w:val="006A6CEE"/>
    <w:rsid w:val="006B11B2"/>
    <w:rsid w:val="006B1677"/>
    <w:rsid w:val="006B2F46"/>
    <w:rsid w:val="006B410D"/>
    <w:rsid w:val="006B7884"/>
    <w:rsid w:val="006C0B87"/>
    <w:rsid w:val="006C2861"/>
    <w:rsid w:val="006C3211"/>
    <w:rsid w:val="006C4FDB"/>
    <w:rsid w:val="006C656F"/>
    <w:rsid w:val="006D1442"/>
    <w:rsid w:val="006D1A3B"/>
    <w:rsid w:val="006D210E"/>
    <w:rsid w:val="006D215D"/>
    <w:rsid w:val="006D35EB"/>
    <w:rsid w:val="006E3065"/>
    <w:rsid w:val="006E75FF"/>
    <w:rsid w:val="006E772C"/>
    <w:rsid w:val="006E78B9"/>
    <w:rsid w:val="006E7DFE"/>
    <w:rsid w:val="006F1F8A"/>
    <w:rsid w:val="006F2768"/>
    <w:rsid w:val="006F27AE"/>
    <w:rsid w:val="006F58BB"/>
    <w:rsid w:val="00700FAB"/>
    <w:rsid w:val="00701802"/>
    <w:rsid w:val="0070537E"/>
    <w:rsid w:val="00705EBA"/>
    <w:rsid w:val="007064D0"/>
    <w:rsid w:val="00707B44"/>
    <w:rsid w:val="00710451"/>
    <w:rsid w:val="00710A9D"/>
    <w:rsid w:val="00710CC2"/>
    <w:rsid w:val="00710D9F"/>
    <w:rsid w:val="00714232"/>
    <w:rsid w:val="00714820"/>
    <w:rsid w:val="00714927"/>
    <w:rsid w:val="00720C14"/>
    <w:rsid w:val="00721607"/>
    <w:rsid w:val="00722E09"/>
    <w:rsid w:val="00724395"/>
    <w:rsid w:val="00726D57"/>
    <w:rsid w:val="007273B2"/>
    <w:rsid w:val="00731738"/>
    <w:rsid w:val="007347A7"/>
    <w:rsid w:val="0073482C"/>
    <w:rsid w:val="007349B2"/>
    <w:rsid w:val="00735166"/>
    <w:rsid w:val="00736C91"/>
    <w:rsid w:val="00736E12"/>
    <w:rsid w:val="0074057B"/>
    <w:rsid w:val="00741A38"/>
    <w:rsid w:val="00742414"/>
    <w:rsid w:val="007425C1"/>
    <w:rsid w:val="0074281A"/>
    <w:rsid w:val="00744174"/>
    <w:rsid w:val="0074585C"/>
    <w:rsid w:val="007458F9"/>
    <w:rsid w:val="00746AC4"/>
    <w:rsid w:val="007515F8"/>
    <w:rsid w:val="00760712"/>
    <w:rsid w:val="00760E2D"/>
    <w:rsid w:val="0076352C"/>
    <w:rsid w:val="00763944"/>
    <w:rsid w:val="00763A30"/>
    <w:rsid w:val="0076456E"/>
    <w:rsid w:val="0076505C"/>
    <w:rsid w:val="00772FD5"/>
    <w:rsid w:val="00773760"/>
    <w:rsid w:val="007739AF"/>
    <w:rsid w:val="007743E4"/>
    <w:rsid w:val="0078119B"/>
    <w:rsid w:val="0078170D"/>
    <w:rsid w:val="00783A27"/>
    <w:rsid w:val="00784934"/>
    <w:rsid w:val="007857C1"/>
    <w:rsid w:val="00785F81"/>
    <w:rsid w:val="007864EE"/>
    <w:rsid w:val="00787081"/>
    <w:rsid w:val="007875BB"/>
    <w:rsid w:val="00790F5A"/>
    <w:rsid w:val="0079100D"/>
    <w:rsid w:val="00794A6F"/>
    <w:rsid w:val="00794B30"/>
    <w:rsid w:val="00796B43"/>
    <w:rsid w:val="00797EB3"/>
    <w:rsid w:val="007A1498"/>
    <w:rsid w:val="007A14EA"/>
    <w:rsid w:val="007A15EB"/>
    <w:rsid w:val="007A2225"/>
    <w:rsid w:val="007A49BB"/>
    <w:rsid w:val="007A7603"/>
    <w:rsid w:val="007B0442"/>
    <w:rsid w:val="007B05C6"/>
    <w:rsid w:val="007B31E9"/>
    <w:rsid w:val="007B3697"/>
    <w:rsid w:val="007B424E"/>
    <w:rsid w:val="007B5391"/>
    <w:rsid w:val="007C0964"/>
    <w:rsid w:val="007C0BB5"/>
    <w:rsid w:val="007C2BF1"/>
    <w:rsid w:val="007C45A0"/>
    <w:rsid w:val="007C5632"/>
    <w:rsid w:val="007C67DC"/>
    <w:rsid w:val="007D101A"/>
    <w:rsid w:val="007D18C4"/>
    <w:rsid w:val="007D1A35"/>
    <w:rsid w:val="007D5067"/>
    <w:rsid w:val="007D7495"/>
    <w:rsid w:val="007E0D91"/>
    <w:rsid w:val="007E1730"/>
    <w:rsid w:val="007E3868"/>
    <w:rsid w:val="007E3D4B"/>
    <w:rsid w:val="007E4E34"/>
    <w:rsid w:val="007E4E65"/>
    <w:rsid w:val="007E5424"/>
    <w:rsid w:val="007E5EFB"/>
    <w:rsid w:val="007E69AE"/>
    <w:rsid w:val="007E69C1"/>
    <w:rsid w:val="007E7088"/>
    <w:rsid w:val="007F18EA"/>
    <w:rsid w:val="007F1B43"/>
    <w:rsid w:val="007F2059"/>
    <w:rsid w:val="007F266D"/>
    <w:rsid w:val="007F33AA"/>
    <w:rsid w:val="007F35A8"/>
    <w:rsid w:val="007F5D52"/>
    <w:rsid w:val="00800B64"/>
    <w:rsid w:val="0080273C"/>
    <w:rsid w:val="00803CE9"/>
    <w:rsid w:val="00804760"/>
    <w:rsid w:val="0080499C"/>
    <w:rsid w:val="0080554D"/>
    <w:rsid w:val="0080645E"/>
    <w:rsid w:val="00807F5A"/>
    <w:rsid w:val="008108F7"/>
    <w:rsid w:val="00811AFC"/>
    <w:rsid w:val="00811F87"/>
    <w:rsid w:val="00812D59"/>
    <w:rsid w:val="00813767"/>
    <w:rsid w:val="008162BE"/>
    <w:rsid w:val="00816307"/>
    <w:rsid w:val="00816CF0"/>
    <w:rsid w:val="00821CFA"/>
    <w:rsid w:val="008220E9"/>
    <w:rsid w:val="008227B1"/>
    <w:rsid w:val="00822A2E"/>
    <w:rsid w:val="00823030"/>
    <w:rsid w:val="00823145"/>
    <w:rsid w:val="008247C8"/>
    <w:rsid w:val="00825ADD"/>
    <w:rsid w:val="0082733C"/>
    <w:rsid w:val="0083149D"/>
    <w:rsid w:val="0083321A"/>
    <w:rsid w:val="00834467"/>
    <w:rsid w:val="00834E58"/>
    <w:rsid w:val="0083713E"/>
    <w:rsid w:val="00841698"/>
    <w:rsid w:val="00843F53"/>
    <w:rsid w:val="008464BB"/>
    <w:rsid w:val="00850677"/>
    <w:rsid w:val="00850C48"/>
    <w:rsid w:val="00855700"/>
    <w:rsid w:val="00856B9B"/>
    <w:rsid w:val="008573F0"/>
    <w:rsid w:val="00860D29"/>
    <w:rsid w:val="0086392C"/>
    <w:rsid w:val="00863AD5"/>
    <w:rsid w:val="00864973"/>
    <w:rsid w:val="008657ED"/>
    <w:rsid w:val="008660D3"/>
    <w:rsid w:val="008664B2"/>
    <w:rsid w:val="008676A4"/>
    <w:rsid w:val="00871479"/>
    <w:rsid w:val="008714DC"/>
    <w:rsid w:val="008715B1"/>
    <w:rsid w:val="00872C05"/>
    <w:rsid w:val="00872F72"/>
    <w:rsid w:val="00873611"/>
    <w:rsid w:val="0087413F"/>
    <w:rsid w:val="00874C13"/>
    <w:rsid w:val="00876F03"/>
    <w:rsid w:val="00877082"/>
    <w:rsid w:val="008839C1"/>
    <w:rsid w:val="008858A8"/>
    <w:rsid w:val="00885E21"/>
    <w:rsid w:val="008861FE"/>
    <w:rsid w:val="008917AC"/>
    <w:rsid w:val="008961E2"/>
    <w:rsid w:val="00896618"/>
    <w:rsid w:val="00897672"/>
    <w:rsid w:val="008A0D02"/>
    <w:rsid w:val="008A1B90"/>
    <w:rsid w:val="008A4724"/>
    <w:rsid w:val="008A55EB"/>
    <w:rsid w:val="008A6A25"/>
    <w:rsid w:val="008A7541"/>
    <w:rsid w:val="008B12D4"/>
    <w:rsid w:val="008B30AB"/>
    <w:rsid w:val="008B31EF"/>
    <w:rsid w:val="008B3677"/>
    <w:rsid w:val="008B407F"/>
    <w:rsid w:val="008B51B7"/>
    <w:rsid w:val="008B6434"/>
    <w:rsid w:val="008B694C"/>
    <w:rsid w:val="008B6DCB"/>
    <w:rsid w:val="008B7FB1"/>
    <w:rsid w:val="008C02E0"/>
    <w:rsid w:val="008C0560"/>
    <w:rsid w:val="008C1143"/>
    <w:rsid w:val="008C2883"/>
    <w:rsid w:val="008C33E3"/>
    <w:rsid w:val="008C35C5"/>
    <w:rsid w:val="008C3A9D"/>
    <w:rsid w:val="008C401B"/>
    <w:rsid w:val="008C56A4"/>
    <w:rsid w:val="008C75CA"/>
    <w:rsid w:val="008C7CF8"/>
    <w:rsid w:val="008D40EA"/>
    <w:rsid w:val="008D471F"/>
    <w:rsid w:val="008D51DA"/>
    <w:rsid w:val="008D5C55"/>
    <w:rsid w:val="008D79F6"/>
    <w:rsid w:val="008E06D1"/>
    <w:rsid w:val="008E296E"/>
    <w:rsid w:val="008E42EE"/>
    <w:rsid w:val="008E6551"/>
    <w:rsid w:val="008E6635"/>
    <w:rsid w:val="008E7D27"/>
    <w:rsid w:val="008F21A4"/>
    <w:rsid w:val="008F2863"/>
    <w:rsid w:val="008F4108"/>
    <w:rsid w:val="008F41EB"/>
    <w:rsid w:val="008F67AD"/>
    <w:rsid w:val="008F6F3A"/>
    <w:rsid w:val="009008CB"/>
    <w:rsid w:val="009024AF"/>
    <w:rsid w:val="00903600"/>
    <w:rsid w:val="009052C5"/>
    <w:rsid w:val="0090616C"/>
    <w:rsid w:val="0091030E"/>
    <w:rsid w:val="00910F9B"/>
    <w:rsid w:val="00912058"/>
    <w:rsid w:val="00913B0C"/>
    <w:rsid w:val="00913E1F"/>
    <w:rsid w:val="00915D5B"/>
    <w:rsid w:val="00915FB4"/>
    <w:rsid w:val="0091613D"/>
    <w:rsid w:val="0091712B"/>
    <w:rsid w:val="009173ED"/>
    <w:rsid w:val="00917C1C"/>
    <w:rsid w:val="009203EA"/>
    <w:rsid w:val="00920996"/>
    <w:rsid w:val="00921992"/>
    <w:rsid w:val="00921E3D"/>
    <w:rsid w:val="009223DE"/>
    <w:rsid w:val="00922ECA"/>
    <w:rsid w:val="00923041"/>
    <w:rsid w:val="00923F0B"/>
    <w:rsid w:val="00924410"/>
    <w:rsid w:val="009247FB"/>
    <w:rsid w:val="00924920"/>
    <w:rsid w:val="009267AD"/>
    <w:rsid w:val="009309AE"/>
    <w:rsid w:val="00932B0B"/>
    <w:rsid w:val="00935939"/>
    <w:rsid w:val="009360AB"/>
    <w:rsid w:val="009366B1"/>
    <w:rsid w:val="00937890"/>
    <w:rsid w:val="0094098E"/>
    <w:rsid w:val="00940DD6"/>
    <w:rsid w:val="00942440"/>
    <w:rsid w:val="00942785"/>
    <w:rsid w:val="00942F46"/>
    <w:rsid w:val="00943BFD"/>
    <w:rsid w:val="00944559"/>
    <w:rsid w:val="00946C90"/>
    <w:rsid w:val="00952E61"/>
    <w:rsid w:val="00953FF0"/>
    <w:rsid w:val="009542E3"/>
    <w:rsid w:val="00954C65"/>
    <w:rsid w:val="009554F5"/>
    <w:rsid w:val="0095570D"/>
    <w:rsid w:val="009565A2"/>
    <w:rsid w:val="0096007A"/>
    <w:rsid w:val="009622BD"/>
    <w:rsid w:val="00964157"/>
    <w:rsid w:val="009645C3"/>
    <w:rsid w:val="009666CA"/>
    <w:rsid w:val="0096737B"/>
    <w:rsid w:val="009676B9"/>
    <w:rsid w:val="00967ABF"/>
    <w:rsid w:val="009700CC"/>
    <w:rsid w:val="00970E37"/>
    <w:rsid w:val="00972C6E"/>
    <w:rsid w:val="00974226"/>
    <w:rsid w:val="00974393"/>
    <w:rsid w:val="009745E6"/>
    <w:rsid w:val="00974E39"/>
    <w:rsid w:val="00975763"/>
    <w:rsid w:val="00976BCB"/>
    <w:rsid w:val="0098034E"/>
    <w:rsid w:val="0098325D"/>
    <w:rsid w:val="00983EC7"/>
    <w:rsid w:val="009849FE"/>
    <w:rsid w:val="00987847"/>
    <w:rsid w:val="00987B92"/>
    <w:rsid w:val="009901A3"/>
    <w:rsid w:val="00995DD7"/>
    <w:rsid w:val="00997787"/>
    <w:rsid w:val="009A2D4C"/>
    <w:rsid w:val="009A3319"/>
    <w:rsid w:val="009A4F2F"/>
    <w:rsid w:val="009B111F"/>
    <w:rsid w:val="009B22C0"/>
    <w:rsid w:val="009B2D91"/>
    <w:rsid w:val="009B4B4D"/>
    <w:rsid w:val="009B7C08"/>
    <w:rsid w:val="009C06B5"/>
    <w:rsid w:val="009C120A"/>
    <w:rsid w:val="009C254E"/>
    <w:rsid w:val="009C2AB7"/>
    <w:rsid w:val="009C3567"/>
    <w:rsid w:val="009C4275"/>
    <w:rsid w:val="009C5443"/>
    <w:rsid w:val="009D13D0"/>
    <w:rsid w:val="009D2848"/>
    <w:rsid w:val="009D346E"/>
    <w:rsid w:val="009D7376"/>
    <w:rsid w:val="009D7412"/>
    <w:rsid w:val="009D76A7"/>
    <w:rsid w:val="009E0A41"/>
    <w:rsid w:val="009E2455"/>
    <w:rsid w:val="009E2523"/>
    <w:rsid w:val="009E2935"/>
    <w:rsid w:val="009E4FDB"/>
    <w:rsid w:val="009E5B19"/>
    <w:rsid w:val="009E7F2C"/>
    <w:rsid w:val="009F21DA"/>
    <w:rsid w:val="009F2A68"/>
    <w:rsid w:val="009F2EB4"/>
    <w:rsid w:val="009F4A5A"/>
    <w:rsid w:val="009F4CB7"/>
    <w:rsid w:val="009F52A8"/>
    <w:rsid w:val="00A004CB"/>
    <w:rsid w:val="00A01FF4"/>
    <w:rsid w:val="00A024DA"/>
    <w:rsid w:val="00A02F3D"/>
    <w:rsid w:val="00A035D7"/>
    <w:rsid w:val="00A0364E"/>
    <w:rsid w:val="00A053A2"/>
    <w:rsid w:val="00A05C19"/>
    <w:rsid w:val="00A07AC3"/>
    <w:rsid w:val="00A138E8"/>
    <w:rsid w:val="00A15034"/>
    <w:rsid w:val="00A1660B"/>
    <w:rsid w:val="00A21971"/>
    <w:rsid w:val="00A24A50"/>
    <w:rsid w:val="00A25A2F"/>
    <w:rsid w:val="00A25B04"/>
    <w:rsid w:val="00A2612D"/>
    <w:rsid w:val="00A26CF5"/>
    <w:rsid w:val="00A314E0"/>
    <w:rsid w:val="00A31E48"/>
    <w:rsid w:val="00A34B88"/>
    <w:rsid w:val="00A36461"/>
    <w:rsid w:val="00A36645"/>
    <w:rsid w:val="00A412A0"/>
    <w:rsid w:val="00A41677"/>
    <w:rsid w:val="00A41734"/>
    <w:rsid w:val="00A42C04"/>
    <w:rsid w:val="00A42DF4"/>
    <w:rsid w:val="00A4477D"/>
    <w:rsid w:val="00A45FC5"/>
    <w:rsid w:val="00A468A9"/>
    <w:rsid w:val="00A46FC2"/>
    <w:rsid w:val="00A476C0"/>
    <w:rsid w:val="00A477B5"/>
    <w:rsid w:val="00A50B38"/>
    <w:rsid w:val="00A51EE2"/>
    <w:rsid w:val="00A541D0"/>
    <w:rsid w:val="00A554AD"/>
    <w:rsid w:val="00A558AF"/>
    <w:rsid w:val="00A5629B"/>
    <w:rsid w:val="00A56435"/>
    <w:rsid w:val="00A5762C"/>
    <w:rsid w:val="00A62D1F"/>
    <w:rsid w:val="00A655CC"/>
    <w:rsid w:val="00A65CAC"/>
    <w:rsid w:val="00A66A15"/>
    <w:rsid w:val="00A705DE"/>
    <w:rsid w:val="00A71127"/>
    <w:rsid w:val="00A73EFB"/>
    <w:rsid w:val="00A74CBD"/>
    <w:rsid w:val="00A74F65"/>
    <w:rsid w:val="00A761AA"/>
    <w:rsid w:val="00A80F20"/>
    <w:rsid w:val="00A83839"/>
    <w:rsid w:val="00A852F8"/>
    <w:rsid w:val="00A8610E"/>
    <w:rsid w:val="00A869B7"/>
    <w:rsid w:val="00A87A41"/>
    <w:rsid w:val="00A9073A"/>
    <w:rsid w:val="00A90D26"/>
    <w:rsid w:val="00A91A71"/>
    <w:rsid w:val="00A948B7"/>
    <w:rsid w:val="00A9497D"/>
    <w:rsid w:val="00A9565B"/>
    <w:rsid w:val="00A95B4B"/>
    <w:rsid w:val="00A95D24"/>
    <w:rsid w:val="00A964ED"/>
    <w:rsid w:val="00A96AF5"/>
    <w:rsid w:val="00AA0347"/>
    <w:rsid w:val="00AB01BE"/>
    <w:rsid w:val="00AB032D"/>
    <w:rsid w:val="00AB1C8D"/>
    <w:rsid w:val="00AB24DE"/>
    <w:rsid w:val="00AB2920"/>
    <w:rsid w:val="00AB40B1"/>
    <w:rsid w:val="00AB45BE"/>
    <w:rsid w:val="00AB696A"/>
    <w:rsid w:val="00AB7F0C"/>
    <w:rsid w:val="00AC08FA"/>
    <w:rsid w:val="00AC106D"/>
    <w:rsid w:val="00AC2044"/>
    <w:rsid w:val="00AC20EF"/>
    <w:rsid w:val="00AC225A"/>
    <w:rsid w:val="00AC35D0"/>
    <w:rsid w:val="00AC3C62"/>
    <w:rsid w:val="00AC5056"/>
    <w:rsid w:val="00AC5FEA"/>
    <w:rsid w:val="00AC65A5"/>
    <w:rsid w:val="00AC6AE8"/>
    <w:rsid w:val="00AC7DE0"/>
    <w:rsid w:val="00AC7FBB"/>
    <w:rsid w:val="00AD0B8D"/>
    <w:rsid w:val="00AD2319"/>
    <w:rsid w:val="00AD2ADD"/>
    <w:rsid w:val="00AD3FCF"/>
    <w:rsid w:val="00AD7B80"/>
    <w:rsid w:val="00AE0D69"/>
    <w:rsid w:val="00AE2FF3"/>
    <w:rsid w:val="00AE55E8"/>
    <w:rsid w:val="00AE63EF"/>
    <w:rsid w:val="00AE68C3"/>
    <w:rsid w:val="00AF0F8B"/>
    <w:rsid w:val="00AF2559"/>
    <w:rsid w:val="00AF25B6"/>
    <w:rsid w:val="00AF39A2"/>
    <w:rsid w:val="00B00638"/>
    <w:rsid w:val="00B04D83"/>
    <w:rsid w:val="00B06B9A"/>
    <w:rsid w:val="00B07F11"/>
    <w:rsid w:val="00B10122"/>
    <w:rsid w:val="00B108CA"/>
    <w:rsid w:val="00B13250"/>
    <w:rsid w:val="00B146AB"/>
    <w:rsid w:val="00B15254"/>
    <w:rsid w:val="00B166C6"/>
    <w:rsid w:val="00B2034C"/>
    <w:rsid w:val="00B216DB"/>
    <w:rsid w:val="00B21E36"/>
    <w:rsid w:val="00B22312"/>
    <w:rsid w:val="00B22FF0"/>
    <w:rsid w:val="00B239DC"/>
    <w:rsid w:val="00B23D5C"/>
    <w:rsid w:val="00B25A62"/>
    <w:rsid w:val="00B317F5"/>
    <w:rsid w:val="00B319D4"/>
    <w:rsid w:val="00B31D69"/>
    <w:rsid w:val="00B32B3B"/>
    <w:rsid w:val="00B32FC5"/>
    <w:rsid w:val="00B34061"/>
    <w:rsid w:val="00B35484"/>
    <w:rsid w:val="00B3601D"/>
    <w:rsid w:val="00B37248"/>
    <w:rsid w:val="00B373D1"/>
    <w:rsid w:val="00B410F7"/>
    <w:rsid w:val="00B41342"/>
    <w:rsid w:val="00B41627"/>
    <w:rsid w:val="00B42458"/>
    <w:rsid w:val="00B427A3"/>
    <w:rsid w:val="00B4296A"/>
    <w:rsid w:val="00B42C67"/>
    <w:rsid w:val="00B44446"/>
    <w:rsid w:val="00B44583"/>
    <w:rsid w:val="00B44DC8"/>
    <w:rsid w:val="00B44E83"/>
    <w:rsid w:val="00B4579C"/>
    <w:rsid w:val="00B46549"/>
    <w:rsid w:val="00B5188C"/>
    <w:rsid w:val="00B542C9"/>
    <w:rsid w:val="00B54380"/>
    <w:rsid w:val="00B57BE8"/>
    <w:rsid w:val="00B61217"/>
    <w:rsid w:val="00B6221D"/>
    <w:rsid w:val="00B632D7"/>
    <w:rsid w:val="00B643D8"/>
    <w:rsid w:val="00B657C0"/>
    <w:rsid w:val="00B65AFB"/>
    <w:rsid w:val="00B72F5E"/>
    <w:rsid w:val="00B731B5"/>
    <w:rsid w:val="00B76583"/>
    <w:rsid w:val="00B822EB"/>
    <w:rsid w:val="00B828AD"/>
    <w:rsid w:val="00B82A2C"/>
    <w:rsid w:val="00B831A2"/>
    <w:rsid w:val="00B86D3E"/>
    <w:rsid w:val="00B91F6F"/>
    <w:rsid w:val="00B92F72"/>
    <w:rsid w:val="00B95FB4"/>
    <w:rsid w:val="00B9713B"/>
    <w:rsid w:val="00BA00E0"/>
    <w:rsid w:val="00BA3787"/>
    <w:rsid w:val="00BA4D09"/>
    <w:rsid w:val="00BA607D"/>
    <w:rsid w:val="00BA723B"/>
    <w:rsid w:val="00BB0369"/>
    <w:rsid w:val="00BB197B"/>
    <w:rsid w:val="00BB4E11"/>
    <w:rsid w:val="00BB7353"/>
    <w:rsid w:val="00BC1025"/>
    <w:rsid w:val="00BC59E3"/>
    <w:rsid w:val="00BC5DDB"/>
    <w:rsid w:val="00BC62BF"/>
    <w:rsid w:val="00BC6890"/>
    <w:rsid w:val="00BD0AB5"/>
    <w:rsid w:val="00BD185C"/>
    <w:rsid w:val="00BD2CD1"/>
    <w:rsid w:val="00BD6A76"/>
    <w:rsid w:val="00BD7CF0"/>
    <w:rsid w:val="00BE0A62"/>
    <w:rsid w:val="00BE0E55"/>
    <w:rsid w:val="00BE1CFA"/>
    <w:rsid w:val="00BE2C23"/>
    <w:rsid w:val="00BE2E41"/>
    <w:rsid w:val="00BE36F7"/>
    <w:rsid w:val="00BE5EF2"/>
    <w:rsid w:val="00BF2899"/>
    <w:rsid w:val="00BF3C5F"/>
    <w:rsid w:val="00BF3F7C"/>
    <w:rsid w:val="00BF3FD1"/>
    <w:rsid w:val="00BF3FF7"/>
    <w:rsid w:val="00BF4626"/>
    <w:rsid w:val="00BF52FB"/>
    <w:rsid w:val="00BF5B4E"/>
    <w:rsid w:val="00BF5CC5"/>
    <w:rsid w:val="00BF6C50"/>
    <w:rsid w:val="00C00D6B"/>
    <w:rsid w:val="00C02D9F"/>
    <w:rsid w:val="00C03CEA"/>
    <w:rsid w:val="00C04916"/>
    <w:rsid w:val="00C04CFA"/>
    <w:rsid w:val="00C05092"/>
    <w:rsid w:val="00C12D2A"/>
    <w:rsid w:val="00C14E06"/>
    <w:rsid w:val="00C15CAB"/>
    <w:rsid w:val="00C17225"/>
    <w:rsid w:val="00C17B0A"/>
    <w:rsid w:val="00C20146"/>
    <w:rsid w:val="00C2488A"/>
    <w:rsid w:val="00C25A88"/>
    <w:rsid w:val="00C26232"/>
    <w:rsid w:val="00C30543"/>
    <w:rsid w:val="00C3268C"/>
    <w:rsid w:val="00C334FA"/>
    <w:rsid w:val="00C348AC"/>
    <w:rsid w:val="00C36949"/>
    <w:rsid w:val="00C36FD2"/>
    <w:rsid w:val="00C37594"/>
    <w:rsid w:val="00C43531"/>
    <w:rsid w:val="00C43D25"/>
    <w:rsid w:val="00C4431D"/>
    <w:rsid w:val="00C4665D"/>
    <w:rsid w:val="00C4735A"/>
    <w:rsid w:val="00C47B70"/>
    <w:rsid w:val="00C50162"/>
    <w:rsid w:val="00C50232"/>
    <w:rsid w:val="00C511C1"/>
    <w:rsid w:val="00C53D21"/>
    <w:rsid w:val="00C54A8A"/>
    <w:rsid w:val="00C54D21"/>
    <w:rsid w:val="00C601A7"/>
    <w:rsid w:val="00C60D1A"/>
    <w:rsid w:val="00C616A0"/>
    <w:rsid w:val="00C62ABB"/>
    <w:rsid w:val="00C7040F"/>
    <w:rsid w:val="00C70C3A"/>
    <w:rsid w:val="00C7527F"/>
    <w:rsid w:val="00C75EDD"/>
    <w:rsid w:val="00C80457"/>
    <w:rsid w:val="00C80E55"/>
    <w:rsid w:val="00C810F1"/>
    <w:rsid w:val="00C833ED"/>
    <w:rsid w:val="00C85441"/>
    <w:rsid w:val="00C86E8A"/>
    <w:rsid w:val="00C91F19"/>
    <w:rsid w:val="00C9204D"/>
    <w:rsid w:val="00C9283A"/>
    <w:rsid w:val="00C93560"/>
    <w:rsid w:val="00C950E4"/>
    <w:rsid w:val="00C95FF9"/>
    <w:rsid w:val="00C96C2A"/>
    <w:rsid w:val="00C978E3"/>
    <w:rsid w:val="00CA0A5C"/>
    <w:rsid w:val="00CA1CB7"/>
    <w:rsid w:val="00CA1E8F"/>
    <w:rsid w:val="00CA2A57"/>
    <w:rsid w:val="00CA3CFD"/>
    <w:rsid w:val="00CA5187"/>
    <w:rsid w:val="00CA5195"/>
    <w:rsid w:val="00CA6694"/>
    <w:rsid w:val="00CA702D"/>
    <w:rsid w:val="00CB1097"/>
    <w:rsid w:val="00CB2158"/>
    <w:rsid w:val="00CB4C6B"/>
    <w:rsid w:val="00CB5EDF"/>
    <w:rsid w:val="00CB6C0B"/>
    <w:rsid w:val="00CC0ADD"/>
    <w:rsid w:val="00CC1397"/>
    <w:rsid w:val="00CC179C"/>
    <w:rsid w:val="00CC197F"/>
    <w:rsid w:val="00CC260A"/>
    <w:rsid w:val="00CC39C7"/>
    <w:rsid w:val="00CC5766"/>
    <w:rsid w:val="00CC64D0"/>
    <w:rsid w:val="00CC6699"/>
    <w:rsid w:val="00CC66CE"/>
    <w:rsid w:val="00CD155D"/>
    <w:rsid w:val="00CD20C2"/>
    <w:rsid w:val="00CD4164"/>
    <w:rsid w:val="00CD4BE0"/>
    <w:rsid w:val="00CD6879"/>
    <w:rsid w:val="00CD69E8"/>
    <w:rsid w:val="00CD7536"/>
    <w:rsid w:val="00CD7956"/>
    <w:rsid w:val="00CD7A7C"/>
    <w:rsid w:val="00CE01E0"/>
    <w:rsid w:val="00CE05AD"/>
    <w:rsid w:val="00CE0CC9"/>
    <w:rsid w:val="00CE15F2"/>
    <w:rsid w:val="00CE30EB"/>
    <w:rsid w:val="00CE389F"/>
    <w:rsid w:val="00CE404C"/>
    <w:rsid w:val="00CE71CC"/>
    <w:rsid w:val="00CF1E52"/>
    <w:rsid w:val="00CF1FC0"/>
    <w:rsid w:val="00CF453E"/>
    <w:rsid w:val="00CF553F"/>
    <w:rsid w:val="00D02BF3"/>
    <w:rsid w:val="00D02F5C"/>
    <w:rsid w:val="00D0386B"/>
    <w:rsid w:val="00D0609C"/>
    <w:rsid w:val="00D10B96"/>
    <w:rsid w:val="00D10F2F"/>
    <w:rsid w:val="00D1388D"/>
    <w:rsid w:val="00D203DD"/>
    <w:rsid w:val="00D2130B"/>
    <w:rsid w:val="00D21BEB"/>
    <w:rsid w:val="00D21D35"/>
    <w:rsid w:val="00D2279C"/>
    <w:rsid w:val="00D24895"/>
    <w:rsid w:val="00D2493E"/>
    <w:rsid w:val="00D24D1D"/>
    <w:rsid w:val="00D26814"/>
    <w:rsid w:val="00D26896"/>
    <w:rsid w:val="00D26BCF"/>
    <w:rsid w:val="00D26BD0"/>
    <w:rsid w:val="00D26E6D"/>
    <w:rsid w:val="00D31BDD"/>
    <w:rsid w:val="00D31CBC"/>
    <w:rsid w:val="00D3266F"/>
    <w:rsid w:val="00D3554B"/>
    <w:rsid w:val="00D3630A"/>
    <w:rsid w:val="00D41609"/>
    <w:rsid w:val="00D42455"/>
    <w:rsid w:val="00D42D20"/>
    <w:rsid w:val="00D50B0D"/>
    <w:rsid w:val="00D51C92"/>
    <w:rsid w:val="00D5284F"/>
    <w:rsid w:val="00D52C9D"/>
    <w:rsid w:val="00D53D48"/>
    <w:rsid w:val="00D553C9"/>
    <w:rsid w:val="00D55586"/>
    <w:rsid w:val="00D568D8"/>
    <w:rsid w:val="00D57113"/>
    <w:rsid w:val="00D57D87"/>
    <w:rsid w:val="00D61019"/>
    <w:rsid w:val="00D63BFA"/>
    <w:rsid w:val="00D64110"/>
    <w:rsid w:val="00D6422F"/>
    <w:rsid w:val="00D64F79"/>
    <w:rsid w:val="00D6623A"/>
    <w:rsid w:val="00D67A65"/>
    <w:rsid w:val="00D704DD"/>
    <w:rsid w:val="00D706B5"/>
    <w:rsid w:val="00D709AF"/>
    <w:rsid w:val="00D70CD3"/>
    <w:rsid w:val="00D72116"/>
    <w:rsid w:val="00D72928"/>
    <w:rsid w:val="00D7423B"/>
    <w:rsid w:val="00D75A26"/>
    <w:rsid w:val="00D806CB"/>
    <w:rsid w:val="00D81610"/>
    <w:rsid w:val="00D85B36"/>
    <w:rsid w:val="00D85D29"/>
    <w:rsid w:val="00D864B9"/>
    <w:rsid w:val="00D86DF7"/>
    <w:rsid w:val="00D87FF5"/>
    <w:rsid w:val="00D90A0E"/>
    <w:rsid w:val="00D91658"/>
    <w:rsid w:val="00D91D38"/>
    <w:rsid w:val="00D9266E"/>
    <w:rsid w:val="00D94238"/>
    <w:rsid w:val="00D94962"/>
    <w:rsid w:val="00D971AA"/>
    <w:rsid w:val="00D97F97"/>
    <w:rsid w:val="00DA18B7"/>
    <w:rsid w:val="00DA4F93"/>
    <w:rsid w:val="00DA5AEF"/>
    <w:rsid w:val="00DA5D25"/>
    <w:rsid w:val="00DA72DB"/>
    <w:rsid w:val="00DA7804"/>
    <w:rsid w:val="00DB1BC6"/>
    <w:rsid w:val="00DB2555"/>
    <w:rsid w:val="00DB3412"/>
    <w:rsid w:val="00DB3641"/>
    <w:rsid w:val="00DB36B5"/>
    <w:rsid w:val="00DB4286"/>
    <w:rsid w:val="00DB45DA"/>
    <w:rsid w:val="00DB46FA"/>
    <w:rsid w:val="00DB507A"/>
    <w:rsid w:val="00DB72F0"/>
    <w:rsid w:val="00DB76A2"/>
    <w:rsid w:val="00DC02E1"/>
    <w:rsid w:val="00DC06A8"/>
    <w:rsid w:val="00DC09C0"/>
    <w:rsid w:val="00DC0B3B"/>
    <w:rsid w:val="00DC103F"/>
    <w:rsid w:val="00DC2126"/>
    <w:rsid w:val="00DC22CC"/>
    <w:rsid w:val="00DC4C4F"/>
    <w:rsid w:val="00DC7B3B"/>
    <w:rsid w:val="00DC7BE8"/>
    <w:rsid w:val="00DD1140"/>
    <w:rsid w:val="00DD2098"/>
    <w:rsid w:val="00DD2937"/>
    <w:rsid w:val="00DD35C7"/>
    <w:rsid w:val="00DD51ED"/>
    <w:rsid w:val="00DD721D"/>
    <w:rsid w:val="00DD7403"/>
    <w:rsid w:val="00DE11C3"/>
    <w:rsid w:val="00DE3457"/>
    <w:rsid w:val="00DE364F"/>
    <w:rsid w:val="00DE4015"/>
    <w:rsid w:val="00DE5508"/>
    <w:rsid w:val="00DE65D3"/>
    <w:rsid w:val="00DF222F"/>
    <w:rsid w:val="00DF2684"/>
    <w:rsid w:val="00DF3041"/>
    <w:rsid w:val="00DF7FB6"/>
    <w:rsid w:val="00E0019F"/>
    <w:rsid w:val="00E00EA3"/>
    <w:rsid w:val="00E01445"/>
    <w:rsid w:val="00E12CA4"/>
    <w:rsid w:val="00E13B94"/>
    <w:rsid w:val="00E14646"/>
    <w:rsid w:val="00E15DFA"/>
    <w:rsid w:val="00E160FC"/>
    <w:rsid w:val="00E2099E"/>
    <w:rsid w:val="00E217A2"/>
    <w:rsid w:val="00E22291"/>
    <w:rsid w:val="00E22D49"/>
    <w:rsid w:val="00E23EA6"/>
    <w:rsid w:val="00E24093"/>
    <w:rsid w:val="00E26529"/>
    <w:rsid w:val="00E26597"/>
    <w:rsid w:val="00E26FB1"/>
    <w:rsid w:val="00E270DC"/>
    <w:rsid w:val="00E344C0"/>
    <w:rsid w:val="00E34A96"/>
    <w:rsid w:val="00E35A5F"/>
    <w:rsid w:val="00E35D89"/>
    <w:rsid w:val="00E370FC"/>
    <w:rsid w:val="00E3783D"/>
    <w:rsid w:val="00E435CF"/>
    <w:rsid w:val="00E46DA7"/>
    <w:rsid w:val="00E5351C"/>
    <w:rsid w:val="00E54857"/>
    <w:rsid w:val="00E56277"/>
    <w:rsid w:val="00E602BF"/>
    <w:rsid w:val="00E60BDC"/>
    <w:rsid w:val="00E61AEF"/>
    <w:rsid w:val="00E62141"/>
    <w:rsid w:val="00E647FE"/>
    <w:rsid w:val="00E67418"/>
    <w:rsid w:val="00E70E35"/>
    <w:rsid w:val="00E73E70"/>
    <w:rsid w:val="00E744DC"/>
    <w:rsid w:val="00E76C04"/>
    <w:rsid w:val="00E813BF"/>
    <w:rsid w:val="00E851B0"/>
    <w:rsid w:val="00E85264"/>
    <w:rsid w:val="00E85973"/>
    <w:rsid w:val="00E8691C"/>
    <w:rsid w:val="00E902FC"/>
    <w:rsid w:val="00E934A0"/>
    <w:rsid w:val="00E93C8C"/>
    <w:rsid w:val="00E94EB6"/>
    <w:rsid w:val="00EA2783"/>
    <w:rsid w:val="00EA39C3"/>
    <w:rsid w:val="00EA6D75"/>
    <w:rsid w:val="00EB143C"/>
    <w:rsid w:val="00EB2F10"/>
    <w:rsid w:val="00EB4DAA"/>
    <w:rsid w:val="00EB761D"/>
    <w:rsid w:val="00EC134E"/>
    <w:rsid w:val="00EC14F3"/>
    <w:rsid w:val="00EC1E0E"/>
    <w:rsid w:val="00EC2CF0"/>
    <w:rsid w:val="00EC2F7A"/>
    <w:rsid w:val="00EC4208"/>
    <w:rsid w:val="00EC79DD"/>
    <w:rsid w:val="00ED21FA"/>
    <w:rsid w:val="00ED488E"/>
    <w:rsid w:val="00ED5E0C"/>
    <w:rsid w:val="00ED5E14"/>
    <w:rsid w:val="00ED5F13"/>
    <w:rsid w:val="00ED6643"/>
    <w:rsid w:val="00EE02AE"/>
    <w:rsid w:val="00EE11B4"/>
    <w:rsid w:val="00EE23C9"/>
    <w:rsid w:val="00EE3B2E"/>
    <w:rsid w:val="00EE4CA2"/>
    <w:rsid w:val="00EF0413"/>
    <w:rsid w:val="00EF0D4E"/>
    <w:rsid w:val="00EF1F94"/>
    <w:rsid w:val="00EF4060"/>
    <w:rsid w:val="00EF40F9"/>
    <w:rsid w:val="00EF45BF"/>
    <w:rsid w:val="00EF540A"/>
    <w:rsid w:val="00EF6F2E"/>
    <w:rsid w:val="00F0230F"/>
    <w:rsid w:val="00F02981"/>
    <w:rsid w:val="00F02D3F"/>
    <w:rsid w:val="00F0330D"/>
    <w:rsid w:val="00F05FC0"/>
    <w:rsid w:val="00F06F3D"/>
    <w:rsid w:val="00F074BA"/>
    <w:rsid w:val="00F112AD"/>
    <w:rsid w:val="00F115C0"/>
    <w:rsid w:val="00F11909"/>
    <w:rsid w:val="00F12343"/>
    <w:rsid w:val="00F13649"/>
    <w:rsid w:val="00F13992"/>
    <w:rsid w:val="00F14957"/>
    <w:rsid w:val="00F161EA"/>
    <w:rsid w:val="00F17D16"/>
    <w:rsid w:val="00F201DF"/>
    <w:rsid w:val="00F20679"/>
    <w:rsid w:val="00F22C92"/>
    <w:rsid w:val="00F23272"/>
    <w:rsid w:val="00F23A5E"/>
    <w:rsid w:val="00F30141"/>
    <w:rsid w:val="00F31A41"/>
    <w:rsid w:val="00F376C5"/>
    <w:rsid w:val="00F40201"/>
    <w:rsid w:val="00F45F62"/>
    <w:rsid w:val="00F5100E"/>
    <w:rsid w:val="00F52ACC"/>
    <w:rsid w:val="00F53BA0"/>
    <w:rsid w:val="00F55B26"/>
    <w:rsid w:val="00F564F1"/>
    <w:rsid w:val="00F57202"/>
    <w:rsid w:val="00F6100A"/>
    <w:rsid w:val="00F62CA6"/>
    <w:rsid w:val="00F635A7"/>
    <w:rsid w:val="00F639AF"/>
    <w:rsid w:val="00F63F1D"/>
    <w:rsid w:val="00F64CAF"/>
    <w:rsid w:val="00F64F81"/>
    <w:rsid w:val="00F67877"/>
    <w:rsid w:val="00F679CB"/>
    <w:rsid w:val="00F7048F"/>
    <w:rsid w:val="00F705C2"/>
    <w:rsid w:val="00F7131F"/>
    <w:rsid w:val="00F72360"/>
    <w:rsid w:val="00F73A91"/>
    <w:rsid w:val="00F745C3"/>
    <w:rsid w:val="00F75948"/>
    <w:rsid w:val="00F76A51"/>
    <w:rsid w:val="00F8013E"/>
    <w:rsid w:val="00F82FDE"/>
    <w:rsid w:val="00F83B11"/>
    <w:rsid w:val="00F84356"/>
    <w:rsid w:val="00F85225"/>
    <w:rsid w:val="00F858E7"/>
    <w:rsid w:val="00F860C7"/>
    <w:rsid w:val="00F8778A"/>
    <w:rsid w:val="00F9126D"/>
    <w:rsid w:val="00F918F3"/>
    <w:rsid w:val="00F96365"/>
    <w:rsid w:val="00FA11BB"/>
    <w:rsid w:val="00FA1657"/>
    <w:rsid w:val="00FA1772"/>
    <w:rsid w:val="00FA1B4F"/>
    <w:rsid w:val="00FA2073"/>
    <w:rsid w:val="00FA41AF"/>
    <w:rsid w:val="00FA4A8D"/>
    <w:rsid w:val="00FA65B9"/>
    <w:rsid w:val="00FA7355"/>
    <w:rsid w:val="00FA7B75"/>
    <w:rsid w:val="00FB06D0"/>
    <w:rsid w:val="00FB3E04"/>
    <w:rsid w:val="00FB434B"/>
    <w:rsid w:val="00FB5348"/>
    <w:rsid w:val="00FB617A"/>
    <w:rsid w:val="00FB64B6"/>
    <w:rsid w:val="00FB6D3F"/>
    <w:rsid w:val="00FB6EC7"/>
    <w:rsid w:val="00FB7C0F"/>
    <w:rsid w:val="00FB7E45"/>
    <w:rsid w:val="00FC0526"/>
    <w:rsid w:val="00FC0749"/>
    <w:rsid w:val="00FC19FD"/>
    <w:rsid w:val="00FC25B7"/>
    <w:rsid w:val="00FC33B5"/>
    <w:rsid w:val="00FC61D2"/>
    <w:rsid w:val="00FC6466"/>
    <w:rsid w:val="00FC688F"/>
    <w:rsid w:val="00FC6C3D"/>
    <w:rsid w:val="00FC7945"/>
    <w:rsid w:val="00FD13AB"/>
    <w:rsid w:val="00FD2271"/>
    <w:rsid w:val="00FD2816"/>
    <w:rsid w:val="00FD2849"/>
    <w:rsid w:val="00FD2945"/>
    <w:rsid w:val="00FD3857"/>
    <w:rsid w:val="00FD3B79"/>
    <w:rsid w:val="00FD6EDF"/>
    <w:rsid w:val="00FD7337"/>
    <w:rsid w:val="00FE0136"/>
    <w:rsid w:val="00FE19F7"/>
    <w:rsid w:val="00FE1A84"/>
    <w:rsid w:val="00FE1B0B"/>
    <w:rsid w:val="00FE1D92"/>
    <w:rsid w:val="00FE21FD"/>
    <w:rsid w:val="00FE2619"/>
    <w:rsid w:val="00FE2C50"/>
    <w:rsid w:val="00FE486A"/>
    <w:rsid w:val="00FE6463"/>
    <w:rsid w:val="00FE704B"/>
    <w:rsid w:val="00FF0B5E"/>
    <w:rsid w:val="00FF1D22"/>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 w:type="paragraph" w:styleId="EndnoteText">
    <w:name w:val="endnote text"/>
    <w:basedOn w:val="Normal"/>
    <w:link w:val="EndnoteTextChar"/>
    <w:rsid w:val="00290BD7"/>
    <w:pPr>
      <w:spacing w:after="0"/>
    </w:pPr>
  </w:style>
  <w:style w:type="character" w:customStyle="1" w:styleId="EndnoteTextChar">
    <w:name w:val="Endnote Text Char"/>
    <w:basedOn w:val="DefaultParagraphFont"/>
    <w:link w:val="EndnoteText"/>
    <w:rsid w:val="00290BD7"/>
    <w:rPr>
      <w:color w:val="000000"/>
      <w:lang w:val="en-GB" w:eastAsia="ja-JP"/>
    </w:rPr>
  </w:style>
  <w:style w:type="character" w:styleId="EndnoteReference">
    <w:name w:val="endnote reference"/>
    <w:basedOn w:val="DefaultParagraphFont"/>
    <w:rsid w:val="00290B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254675285">
      <w:bodyDiv w:val="1"/>
      <w:marLeft w:val="0"/>
      <w:marRight w:val="0"/>
      <w:marTop w:val="0"/>
      <w:marBottom w:val="0"/>
      <w:divBdr>
        <w:top w:val="none" w:sz="0" w:space="0" w:color="auto"/>
        <w:left w:val="none" w:sz="0" w:space="0" w:color="auto"/>
        <w:bottom w:val="none" w:sz="0" w:space="0" w:color="auto"/>
        <w:right w:val="none" w:sz="0" w:space="0" w:color="auto"/>
      </w:divBdr>
    </w:div>
    <w:div w:id="38830394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758989341">
      <w:bodyDiv w:val="1"/>
      <w:marLeft w:val="0"/>
      <w:marRight w:val="0"/>
      <w:marTop w:val="0"/>
      <w:marBottom w:val="0"/>
      <w:divBdr>
        <w:top w:val="none" w:sz="0" w:space="0" w:color="auto"/>
        <w:left w:val="none" w:sz="0" w:space="0" w:color="auto"/>
        <w:bottom w:val="none" w:sz="0" w:space="0" w:color="auto"/>
        <w:right w:val="none" w:sz="0" w:space="0" w:color="auto"/>
      </w:divBdr>
    </w:div>
    <w:div w:id="898708231">
      <w:bodyDiv w:val="1"/>
      <w:marLeft w:val="0"/>
      <w:marRight w:val="0"/>
      <w:marTop w:val="0"/>
      <w:marBottom w:val="0"/>
      <w:divBdr>
        <w:top w:val="none" w:sz="0" w:space="0" w:color="auto"/>
        <w:left w:val="none" w:sz="0" w:space="0" w:color="auto"/>
        <w:bottom w:val="none" w:sz="0" w:space="0" w:color="auto"/>
        <w:right w:val="none" w:sz="0" w:space="0" w:color="auto"/>
      </w:divBdr>
    </w:div>
    <w:div w:id="979961639">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396126783">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551646010">
      <w:bodyDiv w:val="1"/>
      <w:marLeft w:val="0"/>
      <w:marRight w:val="0"/>
      <w:marTop w:val="0"/>
      <w:marBottom w:val="0"/>
      <w:divBdr>
        <w:top w:val="none" w:sz="0" w:space="0" w:color="auto"/>
        <w:left w:val="none" w:sz="0" w:space="0" w:color="auto"/>
        <w:bottom w:val="none" w:sz="0" w:space="0" w:color="auto"/>
        <w:right w:val="none" w:sz="0" w:space="0" w:color="auto"/>
      </w:divBdr>
    </w:div>
    <w:div w:id="1640106282">
      <w:bodyDiv w:val="1"/>
      <w:marLeft w:val="0"/>
      <w:marRight w:val="0"/>
      <w:marTop w:val="0"/>
      <w:marBottom w:val="0"/>
      <w:divBdr>
        <w:top w:val="none" w:sz="0" w:space="0" w:color="auto"/>
        <w:left w:val="none" w:sz="0" w:space="0" w:color="auto"/>
        <w:bottom w:val="none" w:sz="0" w:space="0" w:color="auto"/>
        <w:right w:val="none" w:sz="0" w:space="0" w:color="auto"/>
      </w:divBdr>
    </w:div>
    <w:div w:id="1764640342">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19611167">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10</Pages>
  <Words>1367</Words>
  <Characters>6760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Pope;nagaraja.rao@nokia.com</dc:creator>
  <cp:keywords/>
  <dc:description/>
  <cp:lastModifiedBy>Nagaraja Rao (Nokia)</cp:lastModifiedBy>
  <cp:revision>24</cp:revision>
  <cp:lastPrinted>2023-03-29T20:53:00Z</cp:lastPrinted>
  <dcterms:created xsi:type="dcterms:W3CDTF">2025-08-28T14:41:00Z</dcterms:created>
  <dcterms:modified xsi:type="dcterms:W3CDTF">2025-10-27T19:39:00Z</dcterms:modified>
</cp:coreProperties>
</file>